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D49BE" w14:textId="77777777" w:rsidR="00367A8D" w:rsidRPr="00D83034" w:rsidRDefault="00367A8D" w:rsidP="00367A8D">
      <w:pPr>
        <w:jc w:val="center"/>
        <w:rPr>
          <w:b/>
        </w:rPr>
      </w:pPr>
      <w:r w:rsidRPr="00D83034">
        <w:rPr>
          <w:b/>
        </w:rPr>
        <w:t>History 146:</w:t>
      </w:r>
    </w:p>
    <w:p w14:paraId="6E82FA67" w14:textId="77777777" w:rsidR="00367A8D" w:rsidRPr="00D83034" w:rsidRDefault="00367A8D" w:rsidP="00367A8D">
      <w:pPr>
        <w:jc w:val="center"/>
        <w:rPr>
          <w:b/>
        </w:rPr>
      </w:pPr>
      <w:r w:rsidRPr="00D83034">
        <w:rPr>
          <w:b/>
        </w:rPr>
        <w:t>History of the Modern Middle East</w:t>
      </w:r>
    </w:p>
    <w:p w14:paraId="31CD2F57" w14:textId="77777777" w:rsidR="00367A8D" w:rsidRPr="00D83034" w:rsidRDefault="00367A8D" w:rsidP="00367A8D"/>
    <w:p w14:paraId="279DE211" w14:textId="32D06B59" w:rsidR="00367A8D" w:rsidRPr="00D83034" w:rsidRDefault="00367A8D" w:rsidP="00367A8D">
      <w:r w:rsidRPr="00D83034">
        <w:t>Professor Sherene Seikaly</w:t>
      </w:r>
      <w:r w:rsidRPr="00D83034">
        <w:tab/>
      </w:r>
      <w:r w:rsidRPr="00D83034">
        <w:tab/>
      </w:r>
      <w:r w:rsidRPr="00D83034">
        <w:tab/>
      </w:r>
      <w:r w:rsidRPr="00D83034">
        <w:tab/>
      </w:r>
      <w:r w:rsidRPr="00D83034">
        <w:tab/>
      </w:r>
      <w:r w:rsidRPr="00D83034">
        <w:tab/>
        <w:t xml:space="preserve">           Winter 2016</w:t>
      </w:r>
    </w:p>
    <w:p w14:paraId="6EF66843" w14:textId="0B943F35" w:rsidR="00367A8D" w:rsidRPr="00D83034" w:rsidRDefault="00DC7DB1" w:rsidP="00367A8D">
      <w:hyperlink r:id="rId8" w:history="1">
        <w:r w:rsidR="00367A8D" w:rsidRPr="00D83034">
          <w:rPr>
            <w:rStyle w:val="Hyperlink"/>
          </w:rPr>
          <w:t>sseikaly@history.ucsb.edu</w:t>
        </w:r>
      </w:hyperlink>
      <w:r w:rsidR="00367A8D" w:rsidRPr="00D83034">
        <w:tab/>
      </w:r>
      <w:r w:rsidR="00367A8D" w:rsidRPr="00D83034">
        <w:tab/>
      </w:r>
      <w:r w:rsidR="00367A8D" w:rsidRPr="00D83034">
        <w:tab/>
      </w:r>
      <w:r w:rsidR="00367A8D" w:rsidRPr="00D83034">
        <w:tab/>
      </w:r>
      <w:r w:rsidR="00367A8D" w:rsidRPr="00D83034">
        <w:tab/>
      </w:r>
      <w:r w:rsidR="00367A8D" w:rsidRPr="00D83034">
        <w:tab/>
        <w:t xml:space="preserve">           M/W 9:30-10:45</w:t>
      </w:r>
    </w:p>
    <w:p w14:paraId="7E0AB41E" w14:textId="3E505ADA" w:rsidR="00367A8D" w:rsidRPr="00D83034" w:rsidRDefault="00367A8D" w:rsidP="00367A8D">
      <w:r w:rsidRPr="00D83034">
        <w:t xml:space="preserve">Office Hours: </w:t>
      </w:r>
      <w:r w:rsidR="00692F4E" w:rsidRPr="00D83034">
        <w:t>T 12</w:t>
      </w:r>
      <w:r w:rsidRPr="00D83034">
        <w:t>-</w:t>
      </w:r>
      <w:r w:rsidR="00692F4E" w:rsidRPr="00D83034">
        <w:t>2</w:t>
      </w:r>
      <w:r w:rsidRPr="00D83034">
        <w:t xml:space="preserve"> (HSSB 4223)        </w:t>
      </w:r>
      <w:r w:rsidRPr="00D83034">
        <w:tab/>
      </w:r>
      <w:r w:rsidRPr="00D83034">
        <w:tab/>
      </w:r>
      <w:r w:rsidRPr="00D83034">
        <w:tab/>
      </w:r>
      <w:r w:rsidRPr="00D83034">
        <w:tab/>
        <w:t xml:space="preserve">           </w:t>
      </w:r>
      <w:r w:rsidR="00D83034" w:rsidRPr="00D83034">
        <w:rPr>
          <w:rFonts w:cs="Arial"/>
        </w:rPr>
        <w:t>ARTS 1349</w:t>
      </w:r>
    </w:p>
    <w:p w14:paraId="5E75020C" w14:textId="77777777" w:rsidR="00367A8D" w:rsidRPr="00D83034" w:rsidRDefault="00367A8D" w:rsidP="00367A8D"/>
    <w:p w14:paraId="49B094EC" w14:textId="77777777" w:rsidR="00367A8D" w:rsidRPr="00D83034" w:rsidRDefault="00367A8D" w:rsidP="00367A8D">
      <w:r w:rsidRPr="00D83034">
        <w:t xml:space="preserve">Through a critical engagement with notions such as essentialism, orientalism, nationalism, and modernity, this course will give you the tools to critically think, read, and write about the social, cultural, and political ruptures and continuities of the last one hundred years in the Middle East. We begin with a close reading of two influential texts that have informed historical writing on the Middle East in the last decades: Samuel Huntington’s article “Clash of Civilizations,” and excerpts from Edward Said’s </w:t>
      </w:r>
      <w:r w:rsidRPr="00D83034">
        <w:rPr>
          <w:i/>
        </w:rPr>
        <w:t>Orientalism</w:t>
      </w:r>
      <w:r w:rsidRPr="00D83034">
        <w:t xml:space="preserve">. </w:t>
      </w:r>
    </w:p>
    <w:p w14:paraId="164E0EE8" w14:textId="77777777" w:rsidR="00367A8D" w:rsidRPr="00D83034" w:rsidRDefault="00367A8D" w:rsidP="00367A8D">
      <w:pPr>
        <w:ind w:firstLine="720"/>
      </w:pPr>
      <w:r w:rsidRPr="00D83034">
        <w:t>In the first decade of the twenty-first century, the world witnessed a tremendous and unprecedented wave of popular revolutions in the Arab world and the Middle East that sought to dislodge calcified authoritarian regimes. The pattern of people taking to the streets and risking life and limb in a simple but resounding call for democracy and freedom began in Tunisia in December 2010. It spread from the streets of the Gulf, the cities of North Africa, and the squares of Turkey and Israel. In the fallout of these uprisings we have witnessed the consolidation of military authoritarianism in Egypt, the spread of a devastating civil war in Syria, and the rise of a millenarian Islamism. Throughout the term you will be expected to follow Middle East news and bring the unfolding political processes into your analysis and discussion of course material. We will pay particular attention to the ways in which the recent phenomena of revolution and counterrevolution shatters and reifies the myths, frameworks, and long held structures that define and limit Middle East politics and history.</w:t>
      </w:r>
    </w:p>
    <w:p w14:paraId="4B9EA6B5" w14:textId="0BA9D0F7" w:rsidR="00367A8D" w:rsidRPr="00D83034" w:rsidRDefault="00367A8D" w:rsidP="00367A8D">
      <w:pPr>
        <w:ind w:firstLine="720"/>
      </w:pPr>
      <w:r w:rsidRPr="00D83034">
        <w:t xml:space="preserve">Throughout the course we will read texts by scholars who will push us to think differently about ideas we often take for granted. For example: </w:t>
      </w:r>
    </w:p>
    <w:p w14:paraId="206E5216" w14:textId="77777777" w:rsidR="00367A8D" w:rsidRPr="00D83034" w:rsidRDefault="00367A8D" w:rsidP="00367A8D">
      <w:pPr>
        <w:ind w:firstLine="720"/>
        <w:rPr>
          <w:b/>
        </w:rPr>
      </w:pPr>
    </w:p>
    <w:p w14:paraId="434FD1C9" w14:textId="77777777" w:rsidR="00367A8D" w:rsidRPr="00D83034" w:rsidRDefault="00367A8D" w:rsidP="00367A8D">
      <w:pPr>
        <w:ind w:firstLine="720"/>
        <w:rPr>
          <w:b/>
        </w:rPr>
      </w:pPr>
      <w:r w:rsidRPr="00D83034">
        <w:rPr>
          <w:b/>
        </w:rPr>
        <w:t xml:space="preserve">What does it mean to be modern? </w:t>
      </w:r>
    </w:p>
    <w:p w14:paraId="682FE3E9" w14:textId="77777777" w:rsidR="00367A8D" w:rsidRPr="00D83034" w:rsidRDefault="00367A8D" w:rsidP="00367A8D">
      <w:pPr>
        <w:ind w:firstLine="720"/>
        <w:rPr>
          <w:b/>
        </w:rPr>
      </w:pPr>
      <w:r w:rsidRPr="00D83034">
        <w:rPr>
          <w:b/>
        </w:rPr>
        <w:t>What is a nation?</w:t>
      </w:r>
    </w:p>
    <w:p w14:paraId="10473DF6" w14:textId="77777777" w:rsidR="00367A8D" w:rsidRPr="00D83034" w:rsidRDefault="00367A8D" w:rsidP="00367A8D">
      <w:pPr>
        <w:ind w:firstLine="720"/>
        <w:rPr>
          <w:b/>
        </w:rPr>
      </w:pPr>
      <w:r w:rsidRPr="00D83034">
        <w:rPr>
          <w:b/>
        </w:rPr>
        <w:t>What is the “proper” relationship between religion and society?</w:t>
      </w:r>
    </w:p>
    <w:p w14:paraId="1820B174" w14:textId="77777777" w:rsidR="00367A8D" w:rsidRPr="00D83034" w:rsidRDefault="00367A8D" w:rsidP="00367A8D">
      <w:pPr>
        <w:ind w:firstLine="720"/>
        <w:rPr>
          <w:b/>
        </w:rPr>
      </w:pPr>
    </w:p>
    <w:p w14:paraId="394473A0" w14:textId="07E81D8F" w:rsidR="00367A8D" w:rsidRPr="00D83034" w:rsidRDefault="00367A8D" w:rsidP="00367A8D">
      <w:r w:rsidRPr="00D83034">
        <w:t>Each week we will be paying particular attention to gender, meaning the socially constructed categories of masculinity and feminitity. We will study the ways that gender functions as a central category in hist</w:t>
      </w:r>
      <w:r w:rsidR="00E82E0F">
        <w:t xml:space="preserve">orical thought and experience. </w:t>
      </w:r>
      <w:r w:rsidRPr="00D83034">
        <w:t>Our reading of Emile Habibi</w:t>
      </w:r>
      <w:r w:rsidR="00D83034">
        <w:t>y</w:t>
      </w:r>
      <w:r w:rsidRPr="00D83034">
        <w:t xml:space="preserve">’s </w:t>
      </w:r>
      <w:r w:rsidRPr="00D83034">
        <w:rPr>
          <w:i/>
        </w:rPr>
        <w:t>The Pessoptimist</w:t>
      </w:r>
      <w:r w:rsidRPr="00D83034">
        <w:t xml:space="preserve"> will further strengthen this emphasis on experience.</w:t>
      </w:r>
      <w:r w:rsidRPr="00D83034">
        <w:tab/>
      </w:r>
    </w:p>
    <w:p w14:paraId="12149BB7" w14:textId="77777777" w:rsidR="00367A8D" w:rsidRPr="00D83034" w:rsidRDefault="00367A8D" w:rsidP="00367A8D">
      <w:pPr>
        <w:ind w:firstLine="720"/>
      </w:pPr>
      <w:r w:rsidRPr="00D83034">
        <w:t>We will study the end of the Ottoman Empire, the rise of European colonialism, and the state-building process in the eastern Arab world, Iran, and Turkey. We begin with a brief study of the late Ottoman Empire and move on to the new state system established after World War I. We will examine how the rise of new media and professions, European colonial rule, the creation of the nation-state system, Cold War politics, and the growth of the oil industry influenced the daily lives of men and women. We will trace the rise of new modes of identification that accompanied these processes, including nationalism and citizenship, feminism, sectarianism, pan-Arabism, Third Worldism, and Islamism.</w:t>
      </w:r>
    </w:p>
    <w:p w14:paraId="3BA6861C" w14:textId="77777777" w:rsidR="00367A8D" w:rsidRPr="00D83034" w:rsidRDefault="00367A8D" w:rsidP="00367A8D">
      <w:pPr>
        <w:rPr>
          <w:u w:val="single"/>
        </w:rPr>
      </w:pPr>
    </w:p>
    <w:p w14:paraId="7E73B6B6" w14:textId="77777777" w:rsidR="00367A8D" w:rsidRPr="00D83034" w:rsidRDefault="00367A8D" w:rsidP="00367A8D">
      <w:pPr>
        <w:rPr>
          <w:b/>
          <w:i/>
          <w:u w:val="single"/>
        </w:rPr>
      </w:pPr>
      <w:r w:rsidRPr="00D83034">
        <w:rPr>
          <w:b/>
          <w:i/>
          <w:u w:val="single"/>
        </w:rPr>
        <w:t>Guidelines:</w:t>
      </w:r>
    </w:p>
    <w:p w14:paraId="72289D30" w14:textId="70BE057E" w:rsidR="00367A8D" w:rsidRPr="00D83034" w:rsidRDefault="00367A8D" w:rsidP="00367A8D">
      <w:r w:rsidRPr="00D83034">
        <w:t xml:space="preserve">Please be respectful of one another’s opinions. Be rigorous – do the readings thoroughly and carefully. </w:t>
      </w:r>
    </w:p>
    <w:p w14:paraId="1B232C7B" w14:textId="77777777" w:rsidR="00367A8D" w:rsidRPr="00D83034" w:rsidRDefault="00367A8D" w:rsidP="00367A8D"/>
    <w:p w14:paraId="2F6E2FD8" w14:textId="1FAE800E" w:rsidR="00367A8D" w:rsidRPr="00D83034" w:rsidRDefault="00367A8D" w:rsidP="00367A8D">
      <w:r w:rsidRPr="00D83034">
        <w:t>Read assigned material.</w:t>
      </w:r>
    </w:p>
    <w:p w14:paraId="312E3E0C" w14:textId="77777777" w:rsidR="00367A8D" w:rsidRPr="00D83034" w:rsidRDefault="00367A8D" w:rsidP="00367A8D"/>
    <w:p w14:paraId="560F1E43" w14:textId="5FC04F84" w:rsidR="00367A8D" w:rsidRPr="00D83034" w:rsidRDefault="00367A8D" w:rsidP="00367A8D">
      <w:r w:rsidRPr="00D83034">
        <w:t>Ask questions of yourself, your colleagues, and your instructor.</w:t>
      </w:r>
    </w:p>
    <w:p w14:paraId="1D08CA42" w14:textId="77777777" w:rsidR="00367A8D" w:rsidRPr="00D83034" w:rsidRDefault="00367A8D" w:rsidP="00367A8D"/>
    <w:p w14:paraId="7543F840" w14:textId="6908ACB9" w:rsidR="00367A8D" w:rsidRPr="00D83034" w:rsidRDefault="00367A8D" w:rsidP="00367A8D">
      <w:r w:rsidRPr="00D83034">
        <w:t xml:space="preserve">Come to class. You are allowed two absences in this course; each absence thereafter will be a reduction in your participation grade. </w:t>
      </w:r>
    </w:p>
    <w:p w14:paraId="1140775E" w14:textId="77777777" w:rsidR="00367A8D" w:rsidRPr="00D83034" w:rsidRDefault="00367A8D" w:rsidP="00367A8D"/>
    <w:p w14:paraId="71300047" w14:textId="36095BC0" w:rsidR="00367A8D" w:rsidRPr="00D83034" w:rsidRDefault="00367A8D" w:rsidP="00367A8D">
      <w:r w:rsidRPr="00D83034">
        <w:t>Be on time. Ten minutes late is an absence.</w:t>
      </w:r>
    </w:p>
    <w:p w14:paraId="205026F8" w14:textId="2011A440" w:rsidR="00367A8D" w:rsidRPr="00D83034" w:rsidRDefault="00367A8D" w:rsidP="00367A8D">
      <w:r w:rsidRPr="00D83034">
        <w:t xml:space="preserve"> </w:t>
      </w:r>
    </w:p>
    <w:p w14:paraId="3DF3A9EC" w14:textId="047369CA" w:rsidR="00367A8D" w:rsidRPr="00D83034" w:rsidRDefault="00367A8D" w:rsidP="00367A8D">
      <w:r w:rsidRPr="00D83034">
        <w:t>Turn off and put away all cellular phones, laptops, and tablets.</w:t>
      </w:r>
    </w:p>
    <w:p w14:paraId="62C0C0FD" w14:textId="77777777" w:rsidR="00367A8D" w:rsidRPr="00D83034" w:rsidRDefault="00367A8D" w:rsidP="00367A8D"/>
    <w:p w14:paraId="17B89CC7" w14:textId="62974B4B" w:rsidR="00367A8D" w:rsidRPr="00D83034" w:rsidRDefault="00367A8D" w:rsidP="00367A8D">
      <w:r w:rsidRPr="00D83034">
        <w:t>Do your own work.</w:t>
      </w:r>
      <w:r w:rsidRPr="00D83034">
        <w:rPr>
          <w:b/>
        </w:rPr>
        <w:t xml:space="preserve"> </w:t>
      </w:r>
      <w:r w:rsidRPr="00D83034">
        <w:t>Plagiarism of any sort will result in an F for the course. For your code of ethics as a UCSB student:</w:t>
      </w:r>
    </w:p>
    <w:p w14:paraId="2063433B" w14:textId="77777777" w:rsidR="00367A8D" w:rsidRPr="00D83034" w:rsidRDefault="00367A8D" w:rsidP="00367A8D"/>
    <w:p w14:paraId="1B16E61C" w14:textId="77777777" w:rsidR="00367A8D" w:rsidRPr="00D83034" w:rsidRDefault="00DC7DB1" w:rsidP="00367A8D">
      <w:hyperlink r:id="rId9" w:history="1">
        <w:r w:rsidR="00367A8D" w:rsidRPr="00D83034">
          <w:rPr>
            <w:rStyle w:val="Hyperlink"/>
          </w:rPr>
          <w:t>http://www.sa.ucsb.edu/Regulations/student_conduct.aspx</w:t>
        </w:r>
      </w:hyperlink>
    </w:p>
    <w:p w14:paraId="58867213" w14:textId="77777777" w:rsidR="00367A8D" w:rsidRPr="00D83034" w:rsidRDefault="00367A8D" w:rsidP="00367A8D">
      <w:pPr>
        <w:rPr>
          <w:u w:val="single"/>
        </w:rPr>
      </w:pPr>
    </w:p>
    <w:p w14:paraId="38D31BB1" w14:textId="6130697D" w:rsidR="00367A8D" w:rsidRPr="00D83034" w:rsidRDefault="00367A8D" w:rsidP="00367A8D">
      <w:pPr>
        <w:rPr>
          <w:lang w:eastAsia="ja-JP"/>
        </w:rPr>
      </w:pPr>
      <w:r w:rsidRPr="00D83034">
        <w:rPr>
          <w:b/>
        </w:rPr>
        <w:t xml:space="preserve">PLEASE NOTE: </w:t>
      </w:r>
      <w:r w:rsidRPr="00D83034">
        <w:rPr>
          <w:lang w:eastAsia="ja-JP"/>
        </w:rPr>
        <w:t xml:space="preserve">All course materials (class lectures and discussions, handouts, examinations, web materials) and the intellectual content of the course itself are protected by United States Federal Copyright Law, the California Civil Code. The UC Policy 102.23 expressly prohibits students (and all other persons) from recording lectures or discussions and from distributing or selling lectures notes and all other course materials without the prior written permission of the instructor (See </w:t>
      </w:r>
      <w:hyperlink r:id="rId10" w:history="1">
        <w:r w:rsidRPr="00D83034">
          <w:rPr>
            <w:color w:val="386EFF"/>
            <w:u w:val="single" w:color="386EFF"/>
            <w:lang w:eastAsia="ja-JP"/>
          </w:rPr>
          <w:t>http://policy.ucop.edu/doc/2710530/PACAOS-100</w:t>
        </w:r>
      </w:hyperlink>
      <w:r w:rsidRPr="00D83034">
        <w:rPr>
          <w:lang w:eastAsia="ja-JP"/>
        </w:rPr>
        <w:t xml:space="preserve">). </w:t>
      </w:r>
    </w:p>
    <w:p w14:paraId="15DA3882" w14:textId="77777777" w:rsidR="00367A8D" w:rsidRPr="00D83034" w:rsidRDefault="00367A8D" w:rsidP="00367A8D">
      <w:pPr>
        <w:rPr>
          <w:lang w:eastAsia="ja-JP"/>
        </w:rPr>
      </w:pPr>
    </w:p>
    <w:p w14:paraId="6FB69995" w14:textId="77777777" w:rsidR="00367A8D" w:rsidRPr="00D83034" w:rsidRDefault="00367A8D" w:rsidP="00367A8D">
      <w:pPr>
        <w:rPr>
          <w:b/>
        </w:rPr>
      </w:pPr>
      <w:r w:rsidRPr="00D83034">
        <w:rPr>
          <w:lang w:eastAsia="ja-JP"/>
        </w:rPr>
        <w:t>Students are permitted to make notes solely for their own private educational use. Exceptions to accommodate students with disabilities may be granted with appropriate documentation. To be clear, in this class students are forbidden from completing study guides and selling them to any person or organization.</w:t>
      </w:r>
      <w:r w:rsidRPr="00D83034">
        <w:rPr>
          <w:rFonts w:ascii="MS Mincho" w:eastAsia="MS Mincho" w:hAnsi="MS Mincho" w:cs="MS Mincho"/>
          <w:lang w:eastAsia="ja-JP"/>
        </w:rPr>
        <w:t> </w:t>
      </w:r>
      <w:r w:rsidRPr="00D83034">
        <w:rPr>
          <w:lang w:eastAsia="ja-JP"/>
        </w:rPr>
        <w:t>The text has been approved by UC General Counsel.  </w:t>
      </w:r>
    </w:p>
    <w:p w14:paraId="4B2ED879" w14:textId="77777777" w:rsidR="00367A8D" w:rsidRPr="00D83034" w:rsidRDefault="00367A8D" w:rsidP="00367A8D">
      <w:pPr>
        <w:rPr>
          <w:u w:val="single"/>
        </w:rPr>
      </w:pPr>
    </w:p>
    <w:p w14:paraId="5F3370CC" w14:textId="77777777" w:rsidR="00367A8D" w:rsidRPr="00D83034" w:rsidRDefault="00367A8D" w:rsidP="00367A8D">
      <w:pPr>
        <w:rPr>
          <w:b/>
          <w:i/>
          <w:u w:val="single"/>
        </w:rPr>
      </w:pPr>
      <w:r w:rsidRPr="00D83034">
        <w:rPr>
          <w:b/>
          <w:i/>
          <w:u w:val="single"/>
        </w:rPr>
        <w:t>Your Work:</w:t>
      </w:r>
    </w:p>
    <w:p w14:paraId="537B2FF4" w14:textId="77777777" w:rsidR="00367A8D" w:rsidRPr="00D83034" w:rsidRDefault="00367A8D" w:rsidP="00367A8D"/>
    <w:p w14:paraId="37EB886C" w14:textId="77777777" w:rsidR="00367A8D" w:rsidRPr="00D83034" w:rsidRDefault="00367A8D" w:rsidP="00367A8D">
      <w:pPr>
        <w:rPr>
          <w:b/>
          <w:u w:val="single"/>
        </w:rPr>
      </w:pPr>
      <w:r w:rsidRPr="00D83034">
        <w:rPr>
          <w:b/>
          <w:u w:val="single"/>
        </w:rPr>
        <w:t xml:space="preserve">A. Participation: </w:t>
      </w:r>
    </w:p>
    <w:p w14:paraId="61DD5679" w14:textId="77777777" w:rsidR="00367A8D" w:rsidRDefault="00367A8D" w:rsidP="00367A8D">
      <w:r w:rsidRPr="00D83034">
        <w:t>Participation is the most important part of your work this semester.  Class attendance is made up of three components:</w:t>
      </w:r>
    </w:p>
    <w:p w14:paraId="026EC677" w14:textId="77777777" w:rsidR="00E82E0F" w:rsidRPr="00D83034" w:rsidRDefault="00E82E0F" w:rsidP="00367A8D"/>
    <w:p w14:paraId="79B5849A" w14:textId="77777777" w:rsidR="00367A8D" w:rsidRPr="00D83034" w:rsidRDefault="00367A8D" w:rsidP="00367A8D">
      <w:pPr>
        <w:ind w:firstLine="720"/>
      </w:pPr>
      <w:r w:rsidRPr="00D83034">
        <w:t>1. Physical presence</w:t>
      </w:r>
    </w:p>
    <w:p w14:paraId="43AD10FE" w14:textId="77777777" w:rsidR="00367A8D" w:rsidRPr="00D83034" w:rsidRDefault="00367A8D" w:rsidP="00367A8D">
      <w:pPr>
        <w:ind w:firstLine="720"/>
      </w:pPr>
      <w:r w:rsidRPr="00D83034">
        <w:t xml:space="preserve">2. Doing the reading </w:t>
      </w:r>
    </w:p>
    <w:p w14:paraId="6171B338" w14:textId="77777777" w:rsidR="00367A8D" w:rsidRPr="00D83034" w:rsidRDefault="00367A8D" w:rsidP="00367A8D">
      <w:pPr>
        <w:ind w:firstLine="720"/>
      </w:pPr>
      <w:r w:rsidRPr="00D83034">
        <w:t>3. Contributing to class discussion</w:t>
      </w:r>
    </w:p>
    <w:p w14:paraId="61F5481A" w14:textId="77777777" w:rsidR="00367A8D" w:rsidRDefault="00367A8D" w:rsidP="00367A8D"/>
    <w:p w14:paraId="3C508E02" w14:textId="77777777" w:rsidR="002012EB" w:rsidRPr="00D83034" w:rsidRDefault="002012EB" w:rsidP="00367A8D"/>
    <w:p w14:paraId="19DC08B4" w14:textId="77777777" w:rsidR="00367A8D" w:rsidRPr="00D83034" w:rsidRDefault="00367A8D" w:rsidP="00367A8D">
      <w:pPr>
        <w:rPr>
          <w:b/>
          <w:u w:val="single"/>
        </w:rPr>
      </w:pPr>
      <w:r w:rsidRPr="00D83034">
        <w:rPr>
          <w:b/>
          <w:u w:val="single"/>
        </w:rPr>
        <w:lastRenderedPageBreak/>
        <w:t>B. Assignments:</w:t>
      </w:r>
    </w:p>
    <w:p w14:paraId="2946B384" w14:textId="77777777" w:rsidR="00367A8D" w:rsidRPr="00D83034" w:rsidRDefault="00367A8D" w:rsidP="00367A8D">
      <w:pPr>
        <w:rPr>
          <w:b/>
        </w:rPr>
      </w:pPr>
      <w:r w:rsidRPr="00D83034">
        <w:rPr>
          <w:b/>
        </w:rPr>
        <w:t xml:space="preserve">1. Response papers: </w:t>
      </w:r>
    </w:p>
    <w:p w14:paraId="1861856E" w14:textId="77777777" w:rsidR="00367A8D" w:rsidRPr="00D83034" w:rsidRDefault="00367A8D" w:rsidP="00367A8D"/>
    <w:p w14:paraId="70488275" w14:textId="2FDF16A6" w:rsidR="00367A8D" w:rsidRPr="00D83034" w:rsidRDefault="00367A8D" w:rsidP="00367A8D">
      <w:r w:rsidRPr="00D83034">
        <w:t>You are required to turn in</w:t>
      </w:r>
      <w:r w:rsidRPr="00D83034">
        <w:rPr>
          <w:b/>
        </w:rPr>
        <w:t xml:space="preserve"> weekly response papers </w:t>
      </w:r>
      <w:r w:rsidRPr="00D83034">
        <w:t xml:space="preserve">on each of the articles and primary documents that have a </w:t>
      </w:r>
      <w:r w:rsidR="005127C0" w:rsidRPr="00D83034">
        <w:rPr>
          <w:b/>
          <w:bdr w:val="single" w:sz="4" w:space="0" w:color="auto"/>
        </w:rPr>
        <w:t xml:space="preserve">box </w:t>
      </w:r>
      <w:r w:rsidR="005127C0" w:rsidRPr="00D83034">
        <w:rPr>
          <w:bdr w:val="single" w:sz="4" w:space="0" w:color="auto"/>
        </w:rPr>
        <w:t>around</w:t>
      </w:r>
      <w:r w:rsidRPr="00D83034">
        <w:rPr>
          <w:bdr w:val="single" w:sz="4" w:space="0" w:color="auto"/>
        </w:rPr>
        <w:t xml:space="preserve"> them</w:t>
      </w:r>
      <w:r w:rsidRPr="00D83034">
        <w:t xml:space="preserve">. </w:t>
      </w:r>
    </w:p>
    <w:p w14:paraId="28C1B6DF" w14:textId="77777777" w:rsidR="00367A8D" w:rsidRPr="00D83034" w:rsidRDefault="00367A8D" w:rsidP="00367A8D"/>
    <w:p w14:paraId="2A913FF0" w14:textId="7964BF7C" w:rsidR="00367A8D" w:rsidRPr="00D83034" w:rsidRDefault="00367A8D" w:rsidP="00367A8D">
      <w:pPr>
        <w:rPr>
          <w:b/>
        </w:rPr>
      </w:pPr>
      <w:r w:rsidRPr="00D83034">
        <w:t xml:space="preserve">Your response papers should consist of </w:t>
      </w:r>
      <w:r w:rsidRPr="00D83034">
        <w:rPr>
          <w:b/>
        </w:rPr>
        <w:t>250 words</w:t>
      </w:r>
      <w:r w:rsidRPr="00D83034">
        <w:t xml:space="preserve"> for each article, primary document, and book we read. </w:t>
      </w:r>
      <w:r w:rsidRPr="00D83034">
        <w:rPr>
          <w:b/>
        </w:rPr>
        <w:t>(ONLY USE: Times New Roman, 12 pt. font, single spaced).</w:t>
      </w:r>
    </w:p>
    <w:p w14:paraId="214E9323" w14:textId="77777777" w:rsidR="00367A8D" w:rsidRPr="00D83034" w:rsidRDefault="00367A8D" w:rsidP="00367A8D"/>
    <w:p w14:paraId="5E6F5AFD" w14:textId="2EBD8024" w:rsidR="00367A8D" w:rsidRPr="00D83034" w:rsidRDefault="00367A8D" w:rsidP="00367A8D">
      <w:r w:rsidRPr="00D83034">
        <w:t xml:space="preserve">Your responses should </w:t>
      </w:r>
      <w:r w:rsidRPr="00D83034">
        <w:rPr>
          <w:b/>
        </w:rPr>
        <w:t>answer the following three questions</w:t>
      </w:r>
      <w:r w:rsidRPr="00D83034">
        <w:t>:</w:t>
      </w:r>
    </w:p>
    <w:p w14:paraId="71027B5E" w14:textId="77777777" w:rsidR="00367A8D" w:rsidRPr="00D83034" w:rsidRDefault="00367A8D" w:rsidP="00367A8D"/>
    <w:p w14:paraId="0743AEBA" w14:textId="77777777" w:rsidR="00367A8D" w:rsidRPr="00D83034" w:rsidRDefault="00367A8D" w:rsidP="00367A8D">
      <w:pPr>
        <w:ind w:firstLine="720"/>
      </w:pPr>
      <w:r w:rsidRPr="00D83034">
        <w:t>1. What is the main argument of the work?</w:t>
      </w:r>
    </w:p>
    <w:p w14:paraId="4A92C680" w14:textId="51B73E8C" w:rsidR="00367A8D" w:rsidRPr="00D83034" w:rsidRDefault="00367A8D" w:rsidP="00367A8D">
      <w:pPr>
        <w:ind w:firstLine="720"/>
      </w:pPr>
      <w:r w:rsidRPr="00D83034">
        <w:t>2. What sources did the author use argue the work?</w:t>
      </w:r>
    </w:p>
    <w:p w14:paraId="581C3303" w14:textId="3F56DA2A" w:rsidR="00367A8D" w:rsidRPr="00D83034" w:rsidRDefault="00367A8D" w:rsidP="00367A8D">
      <w:pPr>
        <w:ind w:firstLine="720"/>
      </w:pPr>
      <w:r w:rsidRPr="00D83034">
        <w:t>3. What is the significance of the work?</w:t>
      </w:r>
    </w:p>
    <w:p w14:paraId="4CDDE204" w14:textId="77777777" w:rsidR="00367A8D" w:rsidRPr="00D83034" w:rsidRDefault="00367A8D" w:rsidP="00367A8D"/>
    <w:p w14:paraId="77348AD1" w14:textId="3AD954F3" w:rsidR="00367A8D" w:rsidRPr="00D83034" w:rsidRDefault="00367A8D" w:rsidP="00367A8D">
      <w:pPr>
        <w:pBdr>
          <w:top w:val="single" w:sz="4" w:space="1" w:color="auto"/>
          <w:left w:val="single" w:sz="4" w:space="4" w:color="auto"/>
          <w:bottom w:val="single" w:sz="4" w:space="1" w:color="auto"/>
          <w:right w:val="single" w:sz="4" w:space="4" w:color="auto"/>
        </w:pBdr>
        <w:rPr>
          <w:b/>
        </w:rPr>
      </w:pPr>
      <w:r w:rsidRPr="00D83034">
        <w:t xml:space="preserve">Your </w:t>
      </w:r>
      <w:r w:rsidRPr="00D83034">
        <w:rPr>
          <w:b/>
        </w:rPr>
        <w:t>weekly response</w:t>
      </w:r>
      <w:r w:rsidRPr="00D83034">
        <w:t xml:space="preserve"> papers are due </w:t>
      </w:r>
      <w:r w:rsidRPr="00D83034">
        <w:rPr>
          <w:b/>
        </w:rPr>
        <w:t xml:space="preserve">to me by email by 9 am on Wednesday morning. I will not </w:t>
      </w:r>
      <w:r w:rsidR="00D83034">
        <w:rPr>
          <w:b/>
        </w:rPr>
        <w:t>accept</w:t>
      </w:r>
      <w:r w:rsidRPr="00D83034">
        <w:rPr>
          <w:b/>
        </w:rPr>
        <w:t xml:space="preserve"> late assignments.</w:t>
      </w:r>
    </w:p>
    <w:p w14:paraId="35BE6C30" w14:textId="77777777" w:rsidR="00367A8D" w:rsidRPr="00D83034" w:rsidRDefault="00367A8D" w:rsidP="00367A8D"/>
    <w:p w14:paraId="65493571" w14:textId="77777777" w:rsidR="00367A8D" w:rsidRPr="00D83034" w:rsidRDefault="00367A8D" w:rsidP="00367A8D">
      <w:pPr>
        <w:rPr>
          <w:b/>
          <w:u w:val="single"/>
        </w:rPr>
      </w:pPr>
      <w:r w:rsidRPr="00D83034">
        <w:rPr>
          <w:b/>
          <w:u w:val="single"/>
        </w:rPr>
        <w:t xml:space="preserve">2. Annotated Bibliography: </w:t>
      </w:r>
    </w:p>
    <w:p w14:paraId="44941F3F" w14:textId="77777777" w:rsidR="00367A8D" w:rsidRPr="00D83034" w:rsidRDefault="00367A8D" w:rsidP="00367A8D"/>
    <w:p w14:paraId="017F7CA5" w14:textId="21D15FD3" w:rsidR="00367A8D" w:rsidRPr="00D83034" w:rsidRDefault="00367A8D" w:rsidP="00367A8D">
      <w:r w:rsidRPr="00D83034">
        <w:t>Your weekly response papers will be returned to you with my editorial and substantive questions and comments in track changes</w:t>
      </w:r>
      <w:r w:rsidRPr="00D83034">
        <w:rPr>
          <w:b/>
        </w:rPr>
        <w:t>.</w:t>
      </w:r>
    </w:p>
    <w:p w14:paraId="12DD87BB" w14:textId="77777777" w:rsidR="00367A8D" w:rsidRPr="00D83034" w:rsidRDefault="00367A8D" w:rsidP="00367A8D"/>
    <w:p w14:paraId="57ACD6D7" w14:textId="77777777" w:rsidR="00367A8D" w:rsidRDefault="00367A8D" w:rsidP="00367A8D">
      <w:r w:rsidRPr="00D83034">
        <w:t xml:space="preserve">You are </w:t>
      </w:r>
      <w:r w:rsidRPr="00D83034">
        <w:rPr>
          <w:b/>
        </w:rPr>
        <w:t>required to address my comments and questions</w:t>
      </w:r>
      <w:r w:rsidRPr="00D83034">
        <w:t xml:space="preserve">. </w:t>
      </w:r>
    </w:p>
    <w:p w14:paraId="6EC08191" w14:textId="77777777" w:rsidR="00E82E0F" w:rsidRDefault="00E82E0F" w:rsidP="00367A8D"/>
    <w:p w14:paraId="6A379CAC" w14:textId="41048D1A" w:rsidR="00E82E0F" w:rsidRPr="00E82E0F" w:rsidRDefault="00E82E0F" w:rsidP="00367A8D">
      <w:r>
        <w:t xml:space="preserve">Your annotations include a 500-word summary of the </w:t>
      </w:r>
      <w:r w:rsidRPr="00E82E0F">
        <w:rPr>
          <w:b/>
        </w:rPr>
        <w:t>morning panel</w:t>
      </w:r>
      <w:r>
        <w:t xml:space="preserve"> of a conference taking place at UCSB on January 25. The conference is titled </w:t>
      </w:r>
      <w:r w:rsidRPr="00E82E0F">
        <w:t xml:space="preserve">“After Tahrir: </w:t>
      </w:r>
      <w:r w:rsidRPr="00E82E0F">
        <w:rPr>
          <w:rFonts w:cs="Arial"/>
          <w:color w:val="000000"/>
        </w:rPr>
        <w:t>Egyptian Revolutionary Experiences and Future Visions</w:t>
      </w:r>
      <w:r>
        <w:rPr>
          <w:rFonts w:cs="Arial"/>
          <w:color w:val="000000"/>
        </w:rPr>
        <w:t xml:space="preserve">” (McCune Room, HSSB). </w:t>
      </w:r>
    </w:p>
    <w:p w14:paraId="1F1639D1" w14:textId="77777777" w:rsidR="00367A8D" w:rsidRPr="00D83034" w:rsidRDefault="00367A8D" w:rsidP="00367A8D"/>
    <w:p w14:paraId="32B4BE60" w14:textId="77777777" w:rsidR="00367A8D" w:rsidRPr="00D83034" w:rsidRDefault="00367A8D" w:rsidP="00367A8D">
      <w:pPr>
        <w:jc w:val="center"/>
        <w:rPr>
          <w:i/>
          <w:u w:val="single"/>
        </w:rPr>
      </w:pPr>
      <w:r w:rsidRPr="00D83034">
        <w:rPr>
          <w:i/>
          <w:u w:val="single"/>
        </w:rPr>
        <w:t>What is an annotated bibliography?</w:t>
      </w:r>
    </w:p>
    <w:p w14:paraId="5AF82C3C" w14:textId="77777777" w:rsidR="00367A8D" w:rsidRPr="00D83034" w:rsidRDefault="00367A8D" w:rsidP="00367A8D"/>
    <w:p w14:paraId="7DC5DEF2" w14:textId="224CAF2F" w:rsidR="00367A8D" w:rsidRPr="00D83034" w:rsidRDefault="00367A8D" w:rsidP="00367A8D">
      <w:r w:rsidRPr="00D83034">
        <w:t xml:space="preserve">An annotated bibliography is </w:t>
      </w:r>
      <w:r w:rsidRPr="00D83034">
        <w:rPr>
          <w:b/>
        </w:rPr>
        <w:t>a list of citations of books, articles, and documents</w:t>
      </w:r>
      <w:r w:rsidRPr="00D83034">
        <w:t xml:space="preserve">. Each </w:t>
      </w:r>
      <w:r w:rsidRPr="00D83034">
        <w:rPr>
          <w:b/>
        </w:rPr>
        <w:t>citation is followed by a brief (</w:t>
      </w:r>
      <w:r w:rsidR="00DC7DB1">
        <w:rPr>
          <w:b/>
        </w:rPr>
        <w:t>250</w:t>
      </w:r>
      <w:bookmarkStart w:id="0" w:name="_GoBack"/>
      <w:bookmarkEnd w:id="0"/>
      <w:r w:rsidRPr="00D83034">
        <w:rPr>
          <w:b/>
        </w:rPr>
        <w:t xml:space="preserve"> words) descriptive and evaluative paragraph, the annotation</w:t>
      </w:r>
      <w:r w:rsidRPr="00D83034">
        <w:t>. The purpose of the annotation is to inform the reader of the relevance, accuracy, and quality of the sources cited.</w:t>
      </w:r>
    </w:p>
    <w:p w14:paraId="2B06F25C" w14:textId="77777777" w:rsidR="00367A8D" w:rsidRPr="00D83034" w:rsidRDefault="00367A8D" w:rsidP="00367A8D"/>
    <w:p w14:paraId="5DC0E445" w14:textId="77777777" w:rsidR="00367A8D" w:rsidRPr="00FE45D1" w:rsidRDefault="00367A8D" w:rsidP="00367A8D">
      <w:pPr>
        <w:rPr>
          <w:b/>
          <w:bCs/>
          <w:i/>
        </w:rPr>
      </w:pPr>
      <w:r w:rsidRPr="00FE45D1">
        <w:rPr>
          <w:b/>
          <w:bCs/>
          <w:i/>
        </w:rPr>
        <w:t>Your Grade:</w:t>
      </w:r>
    </w:p>
    <w:p w14:paraId="4C021E61" w14:textId="57D92C60" w:rsidR="00367A8D" w:rsidRPr="00D83034" w:rsidRDefault="00D83034" w:rsidP="00367A8D">
      <w:pPr>
        <w:rPr>
          <w:bCs/>
        </w:rPr>
      </w:pPr>
      <w:r>
        <w:rPr>
          <w:bCs/>
        </w:rPr>
        <w:t>Participation (2</w:t>
      </w:r>
      <w:r w:rsidR="00367A8D" w:rsidRPr="00D83034">
        <w:rPr>
          <w:bCs/>
        </w:rPr>
        <w:t>0%)</w:t>
      </w:r>
    </w:p>
    <w:p w14:paraId="08545DFC" w14:textId="77777777" w:rsidR="00367A8D" w:rsidRPr="00D83034" w:rsidRDefault="00367A8D" w:rsidP="00367A8D">
      <w:pPr>
        <w:rPr>
          <w:bCs/>
        </w:rPr>
      </w:pPr>
      <w:r w:rsidRPr="00D83034">
        <w:rPr>
          <w:bCs/>
        </w:rPr>
        <w:t>Response Papers (20%)</w:t>
      </w:r>
    </w:p>
    <w:p w14:paraId="27A651DB" w14:textId="2178FBB7" w:rsidR="00367A8D" w:rsidRPr="00D83034" w:rsidRDefault="00367A8D" w:rsidP="00367A8D">
      <w:pPr>
        <w:rPr>
          <w:bCs/>
        </w:rPr>
      </w:pPr>
      <w:r w:rsidRPr="00D83034">
        <w:rPr>
          <w:bCs/>
        </w:rPr>
        <w:t>Annotated Bibliography (</w:t>
      </w:r>
      <w:r w:rsidR="00D83034">
        <w:rPr>
          <w:bCs/>
        </w:rPr>
        <w:t>20</w:t>
      </w:r>
      <w:r w:rsidRPr="00D83034">
        <w:rPr>
          <w:bCs/>
        </w:rPr>
        <w:t>%)</w:t>
      </w:r>
    </w:p>
    <w:p w14:paraId="329F1913" w14:textId="4F28D674" w:rsidR="00367A8D" w:rsidRPr="00D83034" w:rsidRDefault="00D83034" w:rsidP="00367A8D">
      <w:pPr>
        <w:rPr>
          <w:bCs/>
        </w:rPr>
      </w:pPr>
      <w:r>
        <w:rPr>
          <w:bCs/>
        </w:rPr>
        <w:t>Midterm (20</w:t>
      </w:r>
      <w:r w:rsidR="00367A8D" w:rsidRPr="00D83034">
        <w:rPr>
          <w:bCs/>
        </w:rPr>
        <w:t>%)</w:t>
      </w:r>
    </w:p>
    <w:p w14:paraId="1C91B191" w14:textId="77777777" w:rsidR="00367A8D" w:rsidRPr="00D83034" w:rsidRDefault="00367A8D" w:rsidP="00367A8D">
      <w:pPr>
        <w:rPr>
          <w:bCs/>
        </w:rPr>
      </w:pPr>
      <w:r w:rsidRPr="00D83034">
        <w:rPr>
          <w:bCs/>
        </w:rPr>
        <w:t>Final (20%)</w:t>
      </w:r>
    </w:p>
    <w:p w14:paraId="026FD64C" w14:textId="77777777" w:rsidR="00367A8D" w:rsidRPr="00D83034" w:rsidRDefault="00367A8D" w:rsidP="00367A8D"/>
    <w:p w14:paraId="177CCD98" w14:textId="77777777" w:rsidR="00367A8D" w:rsidRPr="00FE45D1" w:rsidRDefault="00367A8D" w:rsidP="00367A8D">
      <w:pPr>
        <w:rPr>
          <w:b/>
          <w:i/>
        </w:rPr>
      </w:pPr>
      <w:r w:rsidRPr="00FE45D1">
        <w:rPr>
          <w:b/>
          <w:i/>
        </w:rPr>
        <w:lastRenderedPageBreak/>
        <w:t>Course Texts:</w:t>
      </w:r>
    </w:p>
    <w:p w14:paraId="29E80B9A" w14:textId="32B4D8DD" w:rsidR="00367A8D" w:rsidRPr="00D83034" w:rsidRDefault="00367A8D" w:rsidP="00367A8D">
      <w:pPr>
        <w:widowControl w:val="0"/>
        <w:autoSpaceDE w:val="0"/>
        <w:autoSpaceDN w:val="0"/>
        <w:adjustRightInd w:val="0"/>
        <w:rPr>
          <w:lang w:eastAsia="ja-JP"/>
        </w:rPr>
      </w:pPr>
      <w:r w:rsidRPr="00D83034">
        <w:rPr>
          <w:lang w:eastAsia="ja-JP"/>
        </w:rPr>
        <w:t>James Gelvin, </w:t>
      </w:r>
      <w:r w:rsidRPr="00D83034">
        <w:rPr>
          <w:i/>
          <w:iCs/>
          <w:lang w:eastAsia="ja-JP"/>
        </w:rPr>
        <w:t>The Modern Middle East</w:t>
      </w:r>
      <w:r w:rsidRPr="00D83034">
        <w:rPr>
          <w:lang w:eastAsia="ja-JP"/>
        </w:rPr>
        <w:t xml:space="preserve"> (</w:t>
      </w:r>
      <w:r w:rsidR="005127C0" w:rsidRPr="00D83034">
        <w:rPr>
          <w:lang w:eastAsia="ja-JP"/>
        </w:rPr>
        <w:t>fourth</w:t>
      </w:r>
      <w:r w:rsidRPr="00D83034">
        <w:rPr>
          <w:lang w:eastAsia="ja-JP"/>
        </w:rPr>
        <w:t xml:space="preserve"> edition) (Oxford University Press</w:t>
      </w:r>
      <w:r w:rsidR="005127C0" w:rsidRPr="00D83034">
        <w:rPr>
          <w:lang w:eastAsia="ja-JP"/>
        </w:rPr>
        <w:t>, 2016</w:t>
      </w:r>
      <w:r w:rsidRPr="00D83034">
        <w:rPr>
          <w:lang w:eastAsia="ja-JP"/>
        </w:rPr>
        <w:t xml:space="preserve">).   </w:t>
      </w:r>
    </w:p>
    <w:p w14:paraId="4611D315" w14:textId="77777777" w:rsidR="00367A8D" w:rsidRPr="00D83034" w:rsidRDefault="00367A8D" w:rsidP="00367A8D">
      <w:pPr>
        <w:widowControl w:val="0"/>
        <w:autoSpaceDE w:val="0"/>
        <w:autoSpaceDN w:val="0"/>
        <w:adjustRightInd w:val="0"/>
        <w:rPr>
          <w:lang w:eastAsia="ja-JP"/>
        </w:rPr>
      </w:pPr>
    </w:p>
    <w:p w14:paraId="34DBB90D" w14:textId="790A849E" w:rsidR="00367A8D" w:rsidRPr="00D83034" w:rsidRDefault="005127C0" w:rsidP="00367A8D">
      <w:pPr>
        <w:widowControl w:val="0"/>
        <w:autoSpaceDE w:val="0"/>
        <w:autoSpaceDN w:val="0"/>
        <w:adjustRightInd w:val="0"/>
        <w:rPr>
          <w:lang w:eastAsia="ja-JP"/>
        </w:rPr>
      </w:pPr>
      <w:r w:rsidRPr="00D83034">
        <w:rPr>
          <w:lang w:eastAsia="ja-JP"/>
        </w:rPr>
        <w:t>Emile Habiby</w:t>
      </w:r>
      <w:r w:rsidR="00367A8D" w:rsidRPr="00D83034">
        <w:rPr>
          <w:lang w:eastAsia="ja-JP"/>
        </w:rPr>
        <w:t xml:space="preserve">, </w:t>
      </w:r>
      <w:r w:rsidR="00367A8D" w:rsidRPr="00D83034">
        <w:rPr>
          <w:i/>
          <w:iCs/>
          <w:lang w:eastAsia="ja-JP"/>
        </w:rPr>
        <w:t>The</w:t>
      </w:r>
      <w:r w:rsidRPr="00D83034">
        <w:rPr>
          <w:i/>
          <w:iCs/>
          <w:lang w:eastAsia="ja-JP"/>
        </w:rPr>
        <w:t xml:space="preserve"> Secret Life of Saeed: The</w:t>
      </w:r>
      <w:r w:rsidR="00367A8D" w:rsidRPr="00D83034">
        <w:rPr>
          <w:i/>
          <w:iCs/>
          <w:lang w:eastAsia="ja-JP"/>
        </w:rPr>
        <w:t xml:space="preserve"> Pessoptimist</w:t>
      </w:r>
      <w:r w:rsidRPr="00D83034">
        <w:rPr>
          <w:iCs/>
          <w:lang w:eastAsia="ja-JP"/>
        </w:rPr>
        <w:t>, trans. by Salma Khadra Jayyusi and  Trevor LeGassick (Brooklyn, NY: Interlink Books, 2002).</w:t>
      </w:r>
    </w:p>
    <w:p w14:paraId="6C56FB31" w14:textId="77777777" w:rsidR="00367A8D" w:rsidRPr="00D83034" w:rsidRDefault="00367A8D" w:rsidP="00367A8D">
      <w:pPr>
        <w:widowControl w:val="0"/>
        <w:autoSpaceDE w:val="0"/>
        <w:autoSpaceDN w:val="0"/>
        <w:adjustRightInd w:val="0"/>
        <w:rPr>
          <w:lang w:eastAsia="ja-JP"/>
        </w:rPr>
      </w:pPr>
      <w:r w:rsidRPr="00D83034">
        <w:rPr>
          <w:lang w:eastAsia="ja-JP"/>
        </w:rPr>
        <w:t xml:space="preserve"> </w:t>
      </w:r>
    </w:p>
    <w:p w14:paraId="7F5AEE4D" w14:textId="5E8794C5" w:rsidR="00367A8D" w:rsidRPr="00D83034" w:rsidRDefault="00367A8D" w:rsidP="00367A8D">
      <w:pPr>
        <w:widowControl w:val="0"/>
        <w:autoSpaceDE w:val="0"/>
        <w:autoSpaceDN w:val="0"/>
        <w:adjustRightInd w:val="0"/>
        <w:spacing w:after="240"/>
        <w:rPr>
          <w:lang w:eastAsia="ja-JP"/>
        </w:rPr>
      </w:pPr>
      <w:r w:rsidRPr="00D83034">
        <w:rPr>
          <w:lang w:eastAsia="ja-JP"/>
        </w:rPr>
        <w:t>All other pieces will be posted on Gaucho</w:t>
      </w:r>
      <w:r w:rsidR="005127C0" w:rsidRPr="00D83034">
        <w:rPr>
          <w:lang w:eastAsia="ja-JP"/>
        </w:rPr>
        <w:t>Space.</w:t>
      </w:r>
    </w:p>
    <w:p w14:paraId="30D02F5A" w14:textId="2A0E646B" w:rsidR="001B557A" w:rsidRDefault="001B557A">
      <w:pPr>
        <w:rPr>
          <w:b/>
        </w:rPr>
      </w:pPr>
      <w:r w:rsidRPr="00D83034">
        <w:rPr>
          <w:b/>
        </w:rPr>
        <w:t>January 4:</w:t>
      </w:r>
      <w:r w:rsidRPr="00D83034">
        <w:t xml:space="preserve"> </w:t>
      </w:r>
      <w:r w:rsidR="00520131" w:rsidRPr="00D83034">
        <w:tab/>
      </w:r>
      <w:r w:rsidR="00520131" w:rsidRPr="00D83034">
        <w:tab/>
      </w:r>
      <w:r w:rsidR="00520131" w:rsidRPr="00D83034">
        <w:tab/>
      </w:r>
      <w:r w:rsidRPr="00D83034">
        <w:rPr>
          <w:b/>
        </w:rPr>
        <w:t>Introduction</w:t>
      </w:r>
    </w:p>
    <w:p w14:paraId="32F53732" w14:textId="77777777" w:rsidR="001E7FA2" w:rsidRPr="00E87D22" w:rsidRDefault="001E7FA2">
      <w:pPr>
        <w:rPr>
          <w:b/>
        </w:rPr>
      </w:pPr>
    </w:p>
    <w:p w14:paraId="39C3013D" w14:textId="464C5438" w:rsidR="00644744" w:rsidRPr="00D83034" w:rsidRDefault="001B557A" w:rsidP="00644744">
      <w:pPr>
        <w:rPr>
          <w:b/>
        </w:rPr>
      </w:pPr>
      <w:r w:rsidRPr="00D83034">
        <w:rPr>
          <w:b/>
        </w:rPr>
        <w:t>January 6:</w:t>
      </w:r>
      <w:r w:rsidR="00644744" w:rsidRPr="00D83034">
        <w:t xml:space="preserve"> </w:t>
      </w:r>
      <w:r w:rsidR="00520131" w:rsidRPr="00D83034">
        <w:tab/>
      </w:r>
      <w:r w:rsidR="00520131" w:rsidRPr="00D83034">
        <w:tab/>
      </w:r>
      <w:r w:rsidR="00520131" w:rsidRPr="00D83034">
        <w:tab/>
      </w:r>
      <w:r w:rsidR="00644744" w:rsidRPr="00D83034">
        <w:rPr>
          <w:b/>
        </w:rPr>
        <w:t>Visiting and Revisiting Orientalism</w:t>
      </w:r>
    </w:p>
    <w:p w14:paraId="091356CF" w14:textId="49C9A6FA" w:rsidR="00644744" w:rsidRPr="00FE45D1" w:rsidRDefault="00644744" w:rsidP="00FE45D1">
      <w:pPr>
        <w:ind w:left="2880"/>
      </w:pPr>
      <w:r w:rsidRPr="00D83034">
        <w:t>Samuel Huntington, “The Clash of Civilizations</w:t>
      </w:r>
      <w:r w:rsidR="00BC4C76" w:rsidRPr="00D83034">
        <w:t>.</w:t>
      </w:r>
      <w:r w:rsidRPr="00D83034">
        <w:t>”</w:t>
      </w:r>
      <w:r w:rsidR="00FE45D1">
        <w:t xml:space="preserve"> </w:t>
      </w:r>
      <w:r w:rsidR="00FE45D1">
        <w:rPr>
          <w:i/>
        </w:rPr>
        <w:t xml:space="preserve">Foreign Affairs </w:t>
      </w:r>
      <w:r w:rsidR="00FE45D1">
        <w:t>(Summer 1993): 22-48.</w:t>
      </w:r>
    </w:p>
    <w:p w14:paraId="40B89B86" w14:textId="77777777" w:rsidR="00DE4A51" w:rsidRPr="00D83034" w:rsidRDefault="00DE4A51" w:rsidP="00DE4A51"/>
    <w:p w14:paraId="4CEE7A86" w14:textId="675ED64F" w:rsidR="00DE4A51" w:rsidRPr="00D83034" w:rsidRDefault="00DE4A51" w:rsidP="00DE4A51">
      <w:pPr>
        <w:pBdr>
          <w:top w:val="single" w:sz="4" w:space="1" w:color="auto"/>
          <w:left w:val="single" w:sz="4" w:space="4" w:color="auto"/>
          <w:bottom w:val="single" w:sz="4" w:space="1" w:color="auto"/>
          <w:right w:val="single" w:sz="4" w:space="4" w:color="auto"/>
        </w:pBdr>
        <w:ind w:left="2880"/>
      </w:pPr>
      <w:r w:rsidRPr="00D83034">
        <w:t xml:space="preserve">Edward Said, </w:t>
      </w:r>
      <w:r w:rsidR="002012EB">
        <w:t xml:space="preserve">“Introduction,” </w:t>
      </w:r>
      <w:r w:rsidRPr="00D83034">
        <w:rPr>
          <w:i/>
        </w:rPr>
        <w:t>Orientalism</w:t>
      </w:r>
      <w:r w:rsidR="00BC7CE5">
        <w:t xml:space="preserve"> </w:t>
      </w:r>
      <w:r w:rsidR="002012EB">
        <w:t>(New York: Vintage Books, 1978).</w:t>
      </w:r>
    </w:p>
    <w:p w14:paraId="72A360A2" w14:textId="77777777" w:rsidR="00C0036A" w:rsidRPr="00D83034" w:rsidRDefault="00C0036A" w:rsidP="00644744"/>
    <w:p w14:paraId="3EBC57E1" w14:textId="4F38C32A" w:rsidR="00C0036A" w:rsidRPr="00D83034" w:rsidRDefault="00F57357" w:rsidP="00562F04">
      <w:pPr>
        <w:ind w:left="2880"/>
      </w:pPr>
      <w:r w:rsidRPr="00D83034">
        <w:t xml:space="preserve">Edward Said, “The Myth of the Clash of Civilizations”  lecture on youtube: </w:t>
      </w:r>
      <w:hyperlink r:id="rId11" w:history="1">
        <w:r w:rsidRPr="00D83034">
          <w:rPr>
            <w:rStyle w:val="Hyperlink"/>
          </w:rPr>
          <w:t>https://www.youtube.com/watch?v=qkK4pApcwMc</w:t>
        </w:r>
      </w:hyperlink>
    </w:p>
    <w:p w14:paraId="6B18094D" w14:textId="77777777" w:rsidR="00F57357" w:rsidRPr="00D83034" w:rsidRDefault="00F57357" w:rsidP="00F57357">
      <w:pPr>
        <w:ind w:left="2880"/>
      </w:pPr>
    </w:p>
    <w:p w14:paraId="7D9783BB" w14:textId="7947C088" w:rsidR="00644744" w:rsidRPr="00D83034" w:rsidRDefault="001B557A" w:rsidP="00644744">
      <w:pPr>
        <w:rPr>
          <w:b/>
        </w:rPr>
      </w:pPr>
      <w:r w:rsidRPr="00D83034">
        <w:rPr>
          <w:b/>
        </w:rPr>
        <w:t>January 11:</w:t>
      </w:r>
      <w:r w:rsidRPr="00D83034">
        <w:t xml:space="preserve"> </w:t>
      </w:r>
      <w:r w:rsidR="00520131" w:rsidRPr="00D83034">
        <w:tab/>
      </w:r>
      <w:r w:rsidR="00520131" w:rsidRPr="00D83034">
        <w:tab/>
      </w:r>
      <w:r w:rsidR="00520131" w:rsidRPr="00D83034">
        <w:tab/>
      </w:r>
      <w:r w:rsidR="00644744" w:rsidRPr="00D83034">
        <w:rPr>
          <w:b/>
        </w:rPr>
        <w:t>Ottoman Life and the Tanzimat</w:t>
      </w:r>
    </w:p>
    <w:p w14:paraId="38A5A108" w14:textId="2CE8C9C9" w:rsidR="00644744" w:rsidRPr="00D83034" w:rsidRDefault="00644744" w:rsidP="00562F04">
      <w:pPr>
        <w:ind w:left="2880"/>
      </w:pPr>
      <w:r w:rsidRPr="00D83034">
        <w:t>Gelvin, Introduction to Part II; Chapter 5: “Defensive Developmentalism,” and Chapter 7: “Wasif Jawhariyyeh and the Great Ni</w:t>
      </w:r>
      <w:r w:rsidR="00BC4C76" w:rsidRPr="00D83034">
        <w:t>neteenth Century Transformation.</w:t>
      </w:r>
      <w:r w:rsidRPr="00D83034">
        <w:t>”</w:t>
      </w:r>
    </w:p>
    <w:p w14:paraId="674D268A" w14:textId="77777777" w:rsidR="00644744" w:rsidRPr="00D83034" w:rsidRDefault="00644744" w:rsidP="00F57357">
      <w:pPr>
        <w:ind w:left="3240" w:firstLine="720"/>
      </w:pPr>
    </w:p>
    <w:p w14:paraId="15CC59B9" w14:textId="7991EAE6" w:rsidR="00644744" w:rsidRPr="00D83034" w:rsidRDefault="00520131" w:rsidP="00562F04">
      <w:pPr>
        <w:ind w:left="2160" w:firstLine="720"/>
      </w:pPr>
      <w:r w:rsidRPr="00D83034">
        <w:rPr>
          <w:i/>
        </w:rPr>
        <w:t>The Islahat Fermani</w:t>
      </w:r>
      <w:r w:rsidR="00BC4C76" w:rsidRPr="00D83034">
        <w:t xml:space="preserve"> in Gelvin.</w:t>
      </w:r>
    </w:p>
    <w:p w14:paraId="2EEDC4CB" w14:textId="77777777" w:rsidR="00C0036A" w:rsidRPr="00D83034" w:rsidRDefault="00C0036A" w:rsidP="00F57357">
      <w:pPr>
        <w:ind w:left="5400"/>
      </w:pPr>
    </w:p>
    <w:p w14:paraId="5FAA5573" w14:textId="2FD5ECB4" w:rsidR="001B557A" w:rsidRPr="00BC7CE5" w:rsidRDefault="00644744" w:rsidP="00562F04">
      <w:pPr>
        <w:ind w:left="2880"/>
      </w:pPr>
      <w:r w:rsidRPr="00D83034">
        <w:t xml:space="preserve">Aaron Rodrigue, “Difference and Tolerance in the Ottoman </w:t>
      </w:r>
      <w:r w:rsidR="00BC4C76" w:rsidRPr="00D83034">
        <w:t>Empire.</w:t>
      </w:r>
      <w:r w:rsidRPr="00D83034">
        <w:t>”</w:t>
      </w:r>
      <w:r w:rsidR="00BC7CE5">
        <w:t xml:space="preserve"> </w:t>
      </w:r>
      <w:r w:rsidR="00BC7CE5">
        <w:rPr>
          <w:i/>
        </w:rPr>
        <w:t xml:space="preserve">Stanford Electronic Humanities Review, </w:t>
      </w:r>
      <w:r w:rsidR="00BC7CE5">
        <w:t>27 February 1996: 81-90.</w:t>
      </w:r>
    </w:p>
    <w:p w14:paraId="249D0B4C" w14:textId="77777777" w:rsidR="001B557A" w:rsidRPr="00D83034" w:rsidRDefault="001B557A" w:rsidP="001B557A"/>
    <w:p w14:paraId="219C23B1" w14:textId="3C76DA0F" w:rsidR="00644744" w:rsidRPr="00D83034" w:rsidRDefault="001B557A" w:rsidP="00644744">
      <w:pPr>
        <w:rPr>
          <w:b/>
        </w:rPr>
      </w:pPr>
      <w:r w:rsidRPr="00D83034">
        <w:rPr>
          <w:b/>
        </w:rPr>
        <w:t>January 13:</w:t>
      </w:r>
      <w:r w:rsidR="00644744" w:rsidRPr="00D83034">
        <w:rPr>
          <w:b/>
        </w:rPr>
        <w:t xml:space="preserve"> </w:t>
      </w:r>
      <w:r w:rsidR="00520131" w:rsidRPr="00D83034">
        <w:rPr>
          <w:b/>
        </w:rPr>
        <w:tab/>
      </w:r>
      <w:r w:rsidR="00520131" w:rsidRPr="00D83034">
        <w:rPr>
          <w:b/>
        </w:rPr>
        <w:tab/>
      </w:r>
      <w:r w:rsidR="00520131" w:rsidRPr="00D83034">
        <w:rPr>
          <w:b/>
        </w:rPr>
        <w:tab/>
      </w:r>
      <w:r w:rsidR="00644744" w:rsidRPr="00D83034">
        <w:rPr>
          <w:b/>
        </w:rPr>
        <w:t>Imperialism in Algeria and Occupation in Egypt</w:t>
      </w:r>
    </w:p>
    <w:p w14:paraId="7E120108" w14:textId="496DA458" w:rsidR="00644744" w:rsidRPr="00D83034" w:rsidRDefault="00644744" w:rsidP="00562F04">
      <w:pPr>
        <w:ind w:left="2160" w:firstLine="720"/>
      </w:pPr>
      <w:r w:rsidRPr="00D83034">
        <w:t>Gelvin, Cha</w:t>
      </w:r>
      <w:r w:rsidR="00BC4C76" w:rsidRPr="00D83034">
        <w:t>pter 6: “Imperialism.</w:t>
      </w:r>
      <w:r w:rsidRPr="00D83034">
        <w:t>”</w:t>
      </w:r>
    </w:p>
    <w:p w14:paraId="11D64679" w14:textId="77777777" w:rsidR="00644744" w:rsidRPr="00D83034" w:rsidRDefault="00644744" w:rsidP="00562F04">
      <w:pPr>
        <w:ind w:left="3240" w:firstLine="720"/>
        <w:rPr>
          <w:b/>
        </w:rPr>
      </w:pPr>
    </w:p>
    <w:p w14:paraId="37C73961" w14:textId="22E7624E" w:rsidR="001B557A" w:rsidRPr="00BC7CE5" w:rsidRDefault="00644744" w:rsidP="00562F04">
      <w:pPr>
        <w:pBdr>
          <w:top w:val="single" w:sz="4" w:space="1" w:color="auto"/>
          <w:left w:val="single" w:sz="4" w:space="4" w:color="auto"/>
          <w:bottom w:val="single" w:sz="4" w:space="1" w:color="auto"/>
          <w:right w:val="single" w:sz="4" w:space="4" w:color="auto"/>
        </w:pBdr>
        <w:ind w:left="2880"/>
      </w:pPr>
      <w:r w:rsidRPr="00D83034">
        <w:t>Roger Owen, “Egypt and Europe: from French E</w:t>
      </w:r>
      <w:r w:rsidR="00BC7CE5">
        <w:t xml:space="preserve">xpedition to British Occupation,” in ed. Albert Hourani, </w:t>
      </w:r>
      <w:r w:rsidR="00BC7CE5">
        <w:rPr>
          <w:i/>
        </w:rPr>
        <w:t>The Modern Middle East: A Reader</w:t>
      </w:r>
      <w:r w:rsidR="00BC7CE5">
        <w:t xml:space="preserve"> (London: I.B. Tauris and Company, 1993): 111-123.</w:t>
      </w:r>
    </w:p>
    <w:p w14:paraId="19BA3D20" w14:textId="77777777" w:rsidR="00C0036A" w:rsidRPr="00D83034" w:rsidRDefault="00C0036A" w:rsidP="00562F04">
      <w:pPr>
        <w:ind w:left="5400"/>
      </w:pPr>
    </w:p>
    <w:p w14:paraId="5B5ECC6E" w14:textId="2ACA1956" w:rsidR="003D1CE6" w:rsidRPr="00D83034" w:rsidRDefault="003C15F3" w:rsidP="00562F04">
      <w:pPr>
        <w:ind w:left="2880"/>
      </w:pPr>
      <w:r w:rsidRPr="00D83034">
        <w:t xml:space="preserve">“Saharan Jews in </w:t>
      </w:r>
      <w:r w:rsidR="00C0036A" w:rsidRPr="00D83034">
        <w:t xml:space="preserve">French Algeria/Sarah Stein,” </w:t>
      </w:r>
      <w:r w:rsidR="00C0036A" w:rsidRPr="00D83034">
        <w:rPr>
          <w:i/>
        </w:rPr>
        <w:t>Ottoman History Podcast</w:t>
      </w:r>
      <w:r w:rsidR="00FB430E" w:rsidRPr="00D83034">
        <w:rPr>
          <w:i/>
        </w:rPr>
        <w:t>.</w:t>
      </w:r>
      <w:r w:rsidR="00C0036A" w:rsidRPr="00D83034">
        <w:t xml:space="preserve"> </w:t>
      </w:r>
      <w:hyperlink r:id="rId12" w:history="1">
        <w:r w:rsidR="00C0036A" w:rsidRPr="00D83034">
          <w:rPr>
            <w:rStyle w:val="Hyperlink"/>
          </w:rPr>
          <w:t>http://www.ottomanhistorypodcast.com/2014/10/saharan-jews-french-algeria-sarah-stein.html</w:t>
        </w:r>
      </w:hyperlink>
    </w:p>
    <w:p w14:paraId="0D1BC06B" w14:textId="77777777" w:rsidR="00C0036A" w:rsidRPr="00D83034" w:rsidRDefault="00C0036A" w:rsidP="00520131">
      <w:pPr>
        <w:ind w:left="2880"/>
      </w:pPr>
    </w:p>
    <w:p w14:paraId="6869F4A6" w14:textId="6CB8103B" w:rsidR="001B557A" w:rsidRPr="00D83034" w:rsidRDefault="001B557A" w:rsidP="001B557A">
      <w:pPr>
        <w:rPr>
          <w:b/>
        </w:rPr>
      </w:pPr>
      <w:r w:rsidRPr="00D83034">
        <w:rPr>
          <w:b/>
        </w:rPr>
        <w:t xml:space="preserve">January 18: </w:t>
      </w:r>
      <w:r w:rsidR="00C0036A" w:rsidRPr="00D83034">
        <w:rPr>
          <w:b/>
        </w:rPr>
        <w:tab/>
      </w:r>
      <w:r w:rsidR="00C0036A" w:rsidRPr="00D83034">
        <w:rPr>
          <w:b/>
        </w:rPr>
        <w:tab/>
      </w:r>
      <w:r w:rsidR="00C0036A" w:rsidRPr="00D83034">
        <w:rPr>
          <w:b/>
        </w:rPr>
        <w:tab/>
      </w:r>
      <w:r w:rsidRPr="00D83034">
        <w:rPr>
          <w:b/>
        </w:rPr>
        <w:t>Martin Luther King Day</w:t>
      </w:r>
      <w:r w:rsidR="00D83034">
        <w:rPr>
          <w:b/>
        </w:rPr>
        <w:t>: No class</w:t>
      </w:r>
    </w:p>
    <w:p w14:paraId="43DB6988" w14:textId="77777777" w:rsidR="001B557A" w:rsidRPr="00D83034" w:rsidRDefault="001B557A" w:rsidP="001B557A"/>
    <w:p w14:paraId="096E967C" w14:textId="3C450422" w:rsidR="00644744" w:rsidRPr="00D83034" w:rsidRDefault="001B557A" w:rsidP="00644744">
      <w:pPr>
        <w:rPr>
          <w:b/>
        </w:rPr>
      </w:pPr>
      <w:r w:rsidRPr="00D83034">
        <w:rPr>
          <w:b/>
        </w:rPr>
        <w:t>January 20</w:t>
      </w:r>
      <w:r w:rsidR="00644744" w:rsidRPr="00D83034">
        <w:rPr>
          <w:b/>
        </w:rPr>
        <w:t xml:space="preserve">: </w:t>
      </w:r>
      <w:r w:rsidR="00C0036A" w:rsidRPr="00D83034">
        <w:rPr>
          <w:b/>
        </w:rPr>
        <w:tab/>
      </w:r>
      <w:r w:rsidR="00C0036A" w:rsidRPr="00D83034">
        <w:rPr>
          <w:b/>
        </w:rPr>
        <w:tab/>
      </w:r>
      <w:r w:rsidR="00C0036A" w:rsidRPr="00D83034">
        <w:rPr>
          <w:b/>
        </w:rPr>
        <w:tab/>
      </w:r>
      <w:r w:rsidR="00644744" w:rsidRPr="00D83034">
        <w:rPr>
          <w:b/>
        </w:rPr>
        <w:t>Constitutional Experiments</w:t>
      </w:r>
    </w:p>
    <w:p w14:paraId="728FC399" w14:textId="263AB3BD" w:rsidR="00644744" w:rsidRPr="00D83034" w:rsidRDefault="00644744" w:rsidP="00F57357">
      <w:pPr>
        <w:ind w:left="2880"/>
      </w:pPr>
      <w:r w:rsidRPr="00D83034">
        <w:t xml:space="preserve">Gelvin, </w:t>
      </w:r>
      <w:r w:rsidR="00520131" w:rsidRPr="00D83034">
        <w:t xml:space="preserve">Chapter 8: “The Life of the Mind,” </w:t>
      </w:r>
      <w:r w:rsidRPr="00D83034">
        <w:t>Chapter 9: “Secularism and Modernity,”</w:t>
      </w:r>
      <w:r w:rsidR="00BC4C76" w:rsidRPr="00D83034">
        <w:t xml:space="preserve"> Chapter 10: “Constitutionalism</w:t>
      </w:r>
      <w:r w:rsidR="00FB430E" w:rsidRPr="00D83034">
        <w:t>.</w:t>
      </w:r>
      <w:r w:rsidRPr="00D83034">
        <w:t>”</w:t>
      </w:r>
    </w:p>
    <w:p w14:paraId="5D88386C" w14:textId="77777777" w:rsidR="00644744" w:rsidRPr="00D83034" w:rsidRDefault="00644744" w:rsidP="00644744"/>
    <w:p w14:paraId="101AE699" w14:textId="5A000049" w:rsidR="00644744" w:rsidRPr="00D83034" w:rsidRDefault="00E82E0F" w:rsidP="00E82E0F">
      <w:pPr>
        <w:ind w:left="2880"/>
      </w:pPr>
      <w:r w:rsidRPr="004826C7">
        <w:t>Qassim Amin Argues for the Emancipation of Women in Egypt, 1900.</w:t>
      </w:r>
    </w:p>
    <w:p w14:paraId="730D45E8" w14:textId="5B17A539" w:rsidR="00644744" w:rsidRPr="00D83034" w:rsidRDefault="00520131" w:rsidP="00F57357">
      <w:pPr>
        <w:ind w:left="720"/>
      </w:pPr>
      <w:r w:rsidRPr="00D83034">
        <w:tab/>
      </w:r>
      <w:r w:rsidRPr="00D83034">
        <w:tab/>
      </w:r>
      <w:r w:rsidR="00F57357" w:rsidRPr="00D83034">
        <w:tab/>
      </w:r>
    </w:p>
    <w:p w14:paraId="536C6F74" w14:textId="4B60D3D8" w:rsidR="001B557A" w:rsidRPr="00BC7CE5" w:rsidRDefault="00DE4A51" w:rsidP="005127C0">
      <w:pPr>
        <w:pBdr>
          <w:top w:val="single" w:sz="4" w:space="1" w:color="auto"/>
          <w:left w:val="single" w:sz="4" w:space="4" w:color="auto"/>
          <w:bottom w:val="single" w:sz="4" w:space="1" w:color="auto"/>
          <w:right w:val="single" w:sz="4" w:space="4" w:color="auto"/>
        </w:pBdr>
        <w:ind w:left="2880"/>
      </w:pPr>
      <w:r w:rsidRPr="00D83034">
        <w:t xml:space="preserve">Afsaneh Najmabadi, “‘Is Our Name Remembered?’: Writing the History of Iranian Constitutionalism </w:t>
      </w:r>
      <w:r w:rsidR="00BC4C76" w:rsidRPr="00D83034">
        <w:t>as If Women and Gender Mattered</w:t>
      </w:r>
      <w:r w:rsidR="00BC7CE5">
        <w:t xml:space="preserve">,” </w:t>
      </w:r>
      <w:r w:rsidR="00BC7CE5">
        <w:rPr>
          <w:i/>
        </w:rPr>
        <w:t xml:space="preserve">Iranian Studies </w:t>
      </w:r>
      <w:r w:rsidR="00BC7CE5">
        <w:t>29 No.1/2 (Winter-Spring, 1996): 85-109.</w:t>
      </w:r>
    </w:p>
    <w:p w14:paraId="01FCA84F" w14:textId="77777777" w:rsidR="001B557A" w:rsidRPr="00D83034" w:rsidRDefault="001B557A" w:rsidP="001B557A"/>
    <w:p w14:paraId="54D19924" w14:textId="15A966EC" w:rsidR="001B557A" w:rsidRPr="00D83034" w:rsidRDefault="001B557A" w:rsidP="00DE4A51">
      <w:pPr>
        <w:ind w:left="2880" w:hanging="2880"/>
      </w:pPr>
      <w:r w:rsidRPr="00D83034">
        <w:rPr>
          <w:b/>
        </w:rPr>
        <w:t>January 25:</w:t>
      </w:r>
      <w:r w:rsidRPr="00D83034">
        <w:t xml:space="preserve"> </w:t>
      </w:r>
      <w:r w:rsidR="00520131" w:rsidRPr="00D83034">
        <w:t xml:space="preserve"> </w:t>
      </w:r>
      <w:r w:rsidR="00DE4A51" w:rsidRPr="00D83034">
        <w:tab/>
      </w:r>
      <w:r w:rsidRPr="00D83034">
        <w:rPr>
          <w:b/>
        </w:rPr>
        <w:t xml:space="preserve">After Tahrir </w:t>
      </w:r>
      <w:r w:rsidR="00DE4A51" w:rsidRPr="00D83034">
        <w:rPr>
          <w:b/>
        </w:rPr>
        <w:t xml:space="preserve">Conference </w:t>
      </w:r>
      <w:r w:rsidR="00DE4A51" w:rsidRPr="00D83034">
        <w:t>(</w:t>
      </w:r>
      <w:r w:rsidR="00BC7CE5">
        <w:t>A</w:t>
      </w:r>
      <w:r w:rsidR="00DE4A51" w:rsidRPr="00D83034">
        <w:t>ttend morning panel and write a 500-word analysis</w:t>
      </w:r>
      <w:r w:rsidR="00BC7CE5">
        <w:t xml:space="preserve"> due January 27</w:t>
      </w:r>
      <w:r w:rsidR="00DE4A51" w:rsidRPr="00D83034">
        <w:t>)</w:t>
      </w:r>
      <w:r w:rsidR="00FB430E" w:rsidRPr="00D83034">
        <w:t>.</w:t>
      </w:r>
    </w:p>
    <w:p w14:paraId="07ECEE00" w14:textId="77777777" w:rsidR="001B557A" w:rsidRPr="00D83034" w:rsidRDefault="001B557A" w:rsidP="001B557A"/>
    <w:p w14:paraId="58481050" w14:textId="20563AD7" w:rsidR="00644744" w:rsidRPr="00D83034" w:rsidRDefault="001B557A" w:rsidP="00644744">
      <w:r w:rsidRPr="00D83034">
        <w:rPr>
          <w:b/>
        </w:rPr>
        <w:t>January 27:</w:t>
      </w:r>
      <w:r w:rsidR="00644744" w:rsidRPr="00D83034">
        <w:t xml:space="preserve"> </w:t>
      </w:r>
      <w:r w:rsidR="00DE4A51" w:rsidRPr="00D83034">
        <w:tab/>
      </w:r>
      <w:r w:rsidR="00DE4A51" w:rsidRPr="00D83034">
        <w:tab/>
      </w:r>
      <w:r w:rsidR="00DE4A51" w:rsidRPr="00D83034">
        <w:tab/>
      </w:r>
      <w:r w:rsidR="00644744" w:rsidRPr="00D83034">
        <w:rPr>
          <w:b/>
        </w:rPr>
        <w:t>World War I and the Dismemberment of the Ottoman Empire</w:t>
      </w:r>
    </w:p>
    <w:p w14:paraId="5FA6A999" w14:textId="498B8C79" w:rsidR="00644744" w:rsidRPr="00D83034" w:rsidRDefault="00644744" w:rsidP="00DE4A51">
      <w:pPr>
        <w:ind w:left="2880"/>
      </w:pPr>
      <w:r w:rsidRPr="00D83034">
        <w:t>Gelvin, Introduction to Part III: “World War and the Middle East State System,” and Chapter 11: “State-Building by Decree</w:t>
      </w:r>
      <w:r w:rsidR="00FB430E" w:rsidRPr="00D83034">
        <w:t>.</w:t>
      </w:r>
      <w:r w:rsidRPr="00D83034">
        <w:t>”</w:t>
      </w:r>
    </w:p>
    <w:p w14:paraId="49832BBB" w14:textId="77777777" w:rsidR="00DE4A51" w:rsidRPr="00D83034" w:rsidRDefault="00DE4A51" w:rsidP="00AC6A6F"/>
    <w:p w14:paraId="1399857F" w14:textId="3BD57F0C" w:rsidR="00644744" w:rsidRPr="00D83034" w:rsidRDefault="00644744" w:rsidP="00DE4A51">
      <w:pPr>
        <w:ind w:left="2880"/>
      </w:pPr>
      <w:r w:rsidRPr="00D83034">
        <w:t>Women and the Vote in Syria: A Parliamentary Debate About the Relationship Between Gender and Citizenship in the Proposed State, 25 April 1920.</w:t>
      </w:r>
    </w:p>
    <w:p w14:paraId="722BA0AC" w14:textId="77777777" w:rsidR="00AC6A6F" w:rsidRPr="00D83034" w:rsidRDefault="00AC6A6F" w:rsidP="00DE4A51">
      <w:pPr>
        <w:ind w:left="2880"/>
      </w:pPr>
    </w:p>
    <w:p w14:paraId="0EBFE99D" w14:textId="5EF674D3" w:rsidR="00AC6A6F" w:rsidRPr="00BC7CE5" w:rsidRDefault="00F80643" w:rsidP="005127C0">
      <w:pPr>
        <w:pBdr>
          <w:top w:val="single" w:sz="4" w:space="1" w:color="auto"/>
          <w:left w:val="single" w:sz="4" w:space="4" w:color="auto"/>
          <w:bottom w:val="single" w:sz="4" w:space="1" w:color="auto"/>
          <w:right w:val="single" w:sz="4" w:space="4" w:color="auto"/>
        </w:pBdr>
        <w:ind w:left="2880"/>
      </w:pPr>
      <w:r w:rsidRPr="00D83034">
        <w:t xml:space="preserve">Sara </w:t>
      </w:r>
      <w:r w:rsidR="00AC6A6F" w:rsidRPr="00D83034">
        <w:t xml:space="preserve">Pursley, </w:t>
      </w:r>
      <w:r w:rsidRPr="00D83034">
        <w:t>“‘</w:t>
      </w:r>
      <w:r w:rsidR="00AC6A6F" w:rsidRPr="00D83034">
        <w:t xml:space="preserve">Lines Drawn </w:t>
      </w:r>
      <w:r w:rsidRPr="00D83034">
        <w:t>on an Empty Map’: Iraq’s Borders and the Legend of the Artificial State</w:t>
      </w:r>
      <w:r w:rsidR="00BC7CE5">
        <w:t>,</w:t>
      </w:r>
      <w:r w:rsidRPr="00D83034">
        <w:t>”</w:t>
      </w:r>
      <w:r w:rsidR="00BC7CE5">
        <w:t xml:space="preserve"> (Part 1 and 2), </w:t>
      </w:r>
      <w:r w:rsidR="00BC7CE5">
        <w:rPr>
          <w:i/>
        </w:rPr>
        <w:t>Jadaliyya</w:t>
      </w:r>
      <w:r w:rsidR="00BC7CE5">
        <w:t xml:space="preserve"> (June 2015)</w:t>
      </w:r>
    </w:p>
    <w:p w14:paraId="05BAD9A3" w14:textId="77777777" w:rsidR="001B557A" w:rsidRPr="00D83034" w:rsidRDefault="001B557A" w:rsidP="001B557A"/>
    <w:p w14:paraId="67054CE4" w14:textId="48316F43" w:rsidR="00644744" w:rsidRPr="00D83034" w:rsidRDefault="001B557A" w:rsidP="00644744">
      <w:pPr>
        <w:rPr>
          <w:b/>
        </w:rPr>
      </w:pPr>
      <w:r w:rsidRPr="00D83034">
        <w:rPr>
          <w:b/>
        </w:rPr>
        <w:t>February 1:</w:t>
      </w:r>
      <w:r w:rsidR="00644744" w:rsidRPr="00D83034">
        <w:rPr>
          <w:b/>
        </w:rPr>
        <w:t xml:space="preserve"> </w:t>
      </w:r>
      <w:r w:rsidR="00DE4A51" w:rsidRPr="00D83034">
        <w:rPr>
          <w:b/>
        </w:rPr>
        <w:tab/>
      </w:r>
      <w:r w:rsidR="00DE4A51" w:rsidRPr="00D83034">
        <w:rPr>
          <w:b/>
        </w:rPr>
        <w:tab/>
      </w:r>
      <w:r w:rsidR="00DE4A51" w:rsidRPr="00D83034">
        <w:rPr>
          <w:b/>
        </w:rPr>
        <w:tab/>
      </w:r>
      <w:r w:rsidR="00644744" w:rsidRPr="00D83034">
        <w:rPr>
          <w:b/>
        </w:rPr>
        <w:t>Republican Turkey and the Armenian Genocide</w:t>
      </w:r>
    </w:p>
    <w:p w14:paraId="5163B845" w14:textId="77777777" w:rsidR="00644744" w:rsidRPr="00D83034" w:rsidRDefault="00644744" w:rsidP="00DE4A51">
      <w:pPr>
        <w:ind w:left="2880"/>
      </w:pPr>
      <w:r w:rsidRPr="00D83034">
        <w:t>Gelvin, Chapter 12: “State-Building by Revolution and Conquest,” and Chapter 13: “The Introduction and Spread of Nationalism.”</w:t>
      </w:r>
    </w:p>
    <w:p w14:paraId="31E53DB2" w14:textId="77777777" w:rsidR="00644744" w:rsidRPr="00D83034" w:rsidRDefault="00644744" w:rsidP="00644744"/>
    <w:p w14:paraId="6C3BFA2F" w14:textId="05128025" w:rsidR="001B557A" w:rsidRDefault="00BC4C76" w:rsidP="00DE4A51">
      <w:pPr>
        <w:ind w:left="2880"/>
      </w:pPr>
      <w:r w:rsidRPr="00D83034">
        <w:t>Christine Philliou, “The Armenian Genocid</w:t>
      </w:r>
      <w:r w:rsidR="00BC7CE5">
        <w:t>e and the Politics of Knowledge,</w:t>
      </w:r>
      <w:r w:rsidRPr="00D83034">
        <w:t>”</w:t>
      </w:r>
      <w:r w:rsidR="00BC7CE5">
        <w:t xml:space="preserve"> </w:t>
      </w:r>
      <w:r w:rsidR="00BC7CE5">
        <w:rPr>
          <w:i/>
        </w:rPr>
        <w:t xml:space="preserve">Jadaliyya </w:t>
      </w:r>
      <w:r w:rsidR="00BC7CE5">
        <w:t>(May 2015).</w:t>
      </w:r>
    </w:p>
    <w:p w14:paraId="7CF4FF37" w14:textId="77777777" w:rsidR="001E7FA2" w:rsidRDefault="001E7FA2" w:rsidP="00DE4A51">
      <w:pPr>
        <w:ind w:left="2880"/>
      </w:pPr>
    </w:p>
    <w:p w14:paraId="5DEFDF29" w14:textId="77777777" w:rsidR="001E7FA2" w:rsidRDefault="001E7FA2" w:rsidP="00DE4A51">
      <w:pPr>
        <w:ind w:left="2880"/>
      </w:pPr>
    </w:p>
    <w:p w14:paraId="5650FD3D" w14:textId="77777777" w:rsidR="001E7FA2" w:rsidRDefault="001E7FA2" w:rsidP="00DE4A51">
      <w:pPr>
        <w:ind w:left="2880"/>
      </w:pPr>
    </w:p>
    <w:p w14:paraId="7C0FE2BA" w14:textId="77777777" w:rsidR="001E7FA2" w:rsidRDefault="001E7FA2" w:rsidP="00DE4A51">
      <w:pPr>
        <w:ind w:left="2880"/>
      </w:pPr>
    </w:p>
    <w:p w14:paraId="0879E40C" w14:textId="77777777" w:rsidR="001E7FA2" w:rsidRDefault="001E7FA2" w:rsidP="00DE4A51">
      <w:pPr>
        <w:ind w:left="2880"/>
      </w:pPr>
    </w:p>
    <w:p w14:paraId="472E582E" w14:textId="77777777" w:rsidR="001E7FA2" w:rsidRDefault="001E7FA2" w:rsidP="00DE4A51">
      <w:pPr>
        <w:ind w:left="2880"/>
      </w:pPr>
    </w:p>
    <w:p w14:paraId="57F9C2E9" w14:textId="77777777" w:rsidR="001E7FA2" w:rsidRDefault="001E7FA2" w:rsidP="00DE4A51">
      <w:pPr>
        <w:ind w:left="2880"/>
      </w:pPr>
    </w:p>
    <w:p w14:paraId="23B75B8F" w14:textId="77777777" w:rsidR="001E7FA2" w:rsidRDefault="001E7FA2" w:rsidP="00DE4A51">
      <w:pPr>
        <w:ind w:left="2880"/>
      </w:pPr>
    </w:p>
    <w:p w14:paraId="4C403A8A" w14:textId="77777777" w:rsidR="001E7FA2" w:rsidRPr="00BC7CE5" w:rsidRDefault="001E7FA2" w:rsidP="00DE4A51">
      <w:pPr>
        <w:ind w:left="2880"/>
      </w:pPr>
    </w:p>
    <w:p w14:paraId="53F9D136" w14:textId="77777777" w:rsidR="001B557A" w:rsidRDefault="001B557A" w:rsidP="001B557A"/>
    <w:p w14:paraId="51E6F784" w14:textId="3CDE0C5E" w:rsidR="00644744" w:rsidRPr="00D83034" w:rsidRDefault="001B557A" w:rsidP="00644744">
      <w:pPr>
        <w:rPr>
          <w:b/>
        </w:rPr>
      </w:pPr>
      <w:r w:rsidRPr="00D83034">
        <w:rPr>
          <w:b/>
        </w:rPr>
        <w:t>February 3:</w:t>
      </w:r>
      <w:r w:rsidR="00644744" w:rsidRPr="00D83034">
        <w:rPr>
          <w:b/>
        </w:rPr>
        <w:t xml:space="preserve"> </w:t>
      </w:r>
      <w:r w:rsidR="00FB430E" w:rsidRPr="00D83034">
        <w:rPr>
          <w:b/>
        </w:rPr>
        <w:tab/>
      </w:r>
      <w:r w:rsidR="00FB430E" w:rsidRPr="00D83034">
        <w:rPr>
          <w:b/>
        </w:rPr>
        <w:tab/>
      </w:r>
      <w:r w:rsidR="00FB430E" w:rsidRPr="00D83034">
        <w:rPr>
          <w:b/>
        </w:rPr>
        <w:tab/>
      </w:r>
      <w:r w:rsidR="00644744" w:rsidRPr="00D83034">
        <w:rPr>
          <w:b/>
        </w:rPr>
        <w:t>Mass Politics: Nationalism, Communism, Islamism</w:t>
      </w:r>
    </w:p>
    <w:p w14:paraId="24B26509" w14:textId="07F3DE70" w:rsidR="00644744" w:rsidRPr="00D83034" w:rsidRDefault="00FB430E" w:rsidP="005127C0">
      <w:pPr>
        <w:pBdr>
          <w:top w:val="single" w:sz="4" w:space="1" w:color="auto"/>
          <w:left w:val="single" w:sz="4" w:space="4" w:color="auto"/>
          <w:bottom w:val="single" w:sz="4" w:space="1" w:color="auto"/>
          <w:right w:val="single" w:sz="4" w:space="4" w:color="auto"/>
        </w:pBdr>
        <w:ind w:left="2880"/>
      </w:pPr>
      <w:r w:rsidRPr="00D83034">
        <w:t xml:space="preserve">Elizabeth </w:t>
      </w:r>
      <w:r w:rsidR="00644744" w:rsidRPr="00D83034">
        <w:t>Thompson, Chapter 6: “Hassan al-Banna of Egypt: The Muslim Brotherhood’s Pursuit of Islamic Justice,” and Chapter 7: “Comrade Fahd: The Ma</w:t>
      </w:r>
      <w:r w:rsidR="00BC7CE5">
        <w:t xml:space="preserve">ss Appeal of Communism in Iraq,” in </w:t>
      </w:r>
      <w:r w:rsidR="00BC7CE5" w:rsidRPr="004826C7">
        <w:rPr>
          <w:i/>
          <w:iCs/>
          <w:lang w:eastAsia="ja-JP"/>
        </w:rPr>
        <w:t>Justice Interrupted: The Struggle for Constitutional Government in the Middle East </w:t>
      </w:r>
      <w:r w:rsidR="00BC7CE5" w:rsidRPr="004826C7">
        <w:rPr>
          <w:lang w:eastAsia="ja-JP"/>
        </w:rPr>
        <w:t>(Harvard University Press, 2013).</w:t>
      </w:r>
    </w:p>
    <w:p w14:paraId="6ADADB31" w14:textId="77777777" w:rsidR="00644744" w:rsidRPr="00D83034" w:rsidRDefault="00644744" w:rsidP="00644744">
      <w:pPr>
        <w:widowControl w:val="0"/>
        <w:autoSpaceDE w:val="0"/>
        <w:autoSpaceDN w:val="0"/>
        <w:adjustRightInd w:val="0"/>
        <w:ind w:left="720" w:firstLine="720"/>
      </w:pPr>
    </w:p>
    <w:p w14:paraId="6917C73B" w14:textId="661E8DE9" w:rsidR="00644744" w:rsidRPr="00E82E0F" w:rsidRDefault="00644744" w:rsidP="00E82E0F">
      <w:pPr>
        <w:widowControl w:val="0"/>
        <w:autoSpaceDE w:val="0"/>
        <w:autoSpaceDN w:val="0"/>
        <w:adjustRightInd w:val="0"/>
        <w:ind w:left="2880"/>
      </w:pPr>
      <w:r w:rsidRPr="00E82E0F">
        <w:t>Joel Bein</w:t>
      </w:r>
      <w:r w:rsidR="00E82E0F" w:rsidRPr="00E82E0F">
        <w:t xml:space="preserve">in, “The Rise of Mass Politics,” in </w:t>
      </w:r>
      <w:r w:rsidR="00E82E0F" w:rsidRPr="00E82E0F">
        <w:rPr>
          <w:i/>
        </w:rPr>
        <w:t xml:space="preserve">Workers and Peasants in the Modern Middle East </w:t>
      </w:r>
      <w:r w:rsidR="00E82E0F">
        <w:t>(</w:t>
      </w:r>
      <w:r w:rsidR="00E82E0F" w:rsidRPr="00E82E0F">
        <w:t>Cambridge: Cambridge University Press, 2001</w:t>
      </w:r>
      <w:r w:rsidR="00E82E0F">
        <w:t>).</w:t>
      </w:r>
    </w:p>
    <w:p w14:paraId="5E16DBF7" w14:textId="6C539D71" w:rsidR="001B557A" w:rsidRDefault="00644744" w:rsidP="00D83034">
      <w:pPr>
        <w:widowControl w:val="0"/>
        <w:autoSpaceDE w:val="0"/>
        <w:autoSpaceDN w:val="0"/>
        <w:adjustRightInd w:val="0"/>
      </w:pPr>
      <w:r w:rsidRPr="00D83034">
        <w:rPr>
          <w:lang w:eastAsia="ja-JP"/>
        </w:rPr>
        <w:tab/>
      </w:r>
    </w:p>
    <w:p w14:paraId="5490E3FB" w14:textId="27176B4D" w:rsidR="00644744" w:rsidRPr="00D83034" w:rsidRDefault="001B557A" w:rsidP="00644744">
      <w:pPr>
        <w:widowControl w:val="0"/>
        <w:autoSpaceDE w:val="0"/>
        <w:autoSpaceDN w:val="0"/>
        <w:adjustRightInd w:val="0"/>
        <w:rPr>
          <w:b/>
          <w:lang w:eastAsia="ja-JP"/>
        </w:rPr>
      </w:pPr>
      <w:r w:rsidRPr="00D83034">
        <w:rPr>
          <w:b/>
        </w:rPr>
        <w:t>February 8:</w:t>
      </w:r>
      <w:r w:rsidR="00644744" w:rsidRPr="00D83034">
        <w:rPr>
          <w:b/>
        </w:rPr>
        <w:t xml:space="preserve"> </w:t>
      </w:r>
      <w:r w:rsidR="00FB430E" w:rsidRPr="00D83034">
        <w:rPr>
          <w:b/>
        </w:rPr>
        <w:tab/>
      </w:r>
      <w:r w:rsidR="00FB430E" w:rsidRPr="00D83034">
        <w:rPr>
          <w:b/>
        </w:rPr>
        <w:tab/>
      </w:r>
      <w:r w:rsidR="00FB430E" w:rsidRPr="00D83034">
        <w:rPr>
          <w:b/>
        </w:rPr>
        <w:tab/>
      </w:r>
      <w:r w:rsidR="00644744" w:rsidRPr="00D83034">
        <w:rPr>
          <w:b/>
          <w:lang w:eastAsia="ja-JP"/>
        </w:rPr>
        <w:t>Zionism, Palestinian Nationalism, and 1948</w:t>
      </w:r>
    </w:p>
    <w:p w14:paraId="5586E51B" w14:textId="5074929B" w:rsidR="00644744" w:rsidRPr="00D83034" w:rsidRDefault="00644744" w:rsidP="00FB430E">
      <w:pPr>
        <w:ind w:left="2160" w:firstLine="720"/>
      </w:pPr>
      <w:r w:rsidRPr="00D83034">
        <w:t xml:space="preserve">Gelvin, Chapter 14: “The </w:t>
      </w:r>
      <w:r w:rsidR="00421392" w:rsidRPr="00D83034">
        <w:t>Israeli-Palestinian Conflict</w:t>
      </w:r>
      <w:r w:rsidRPr="00D83034">
        <w:t>”</w:t>
      </w:r>
    </w:p>
    <w:p w14:paraId="487C2F55" w14:textId="77777777" w:rsidR="00FB430E" w:rsidRPr="00D83034" w:rsidRDefault="00FB430E" w:rsidP="00FB430E">
      <w:pPr>
        <w:ind w:left="2880"/>
      </w:pPr>
    </w:p>
    <w:p w14:paraId="7CB45CCA" w14:textId="518E2810" w:rsidR="00421392" w:rsidRPr="00D83034" w:rsidRDefault="005127C0" w:rsidP="005127C0">
      <w:pPr>
        <w:pBdr>
          <w:top w:val="single" w:sz="4" w:space="1" w:color="auto"/>
          <w:left w:val="single" w:sz="4" w:space="4" w:color="auto"/>
          <w:bottom w:val="single" w:sz="4" w:space="1" w:color="auto"/>
          <w:right w:val="single" w:sz="4" w:space="4" w:color="auto"/>
        </w:pBdr>
        <w:ind w:left="2880"/>
      </w:pPr>
      <w:r w:rsidRPr="00D83034">
        <w:t xml:space="preserve">Emile Habiby, </w:t>
      </w:r>
      <w:r w:rsidRPr="00D83034">
        <w:rPr>
          <w:i/>
        </w:rPr>
        <w:t>The Secret Life of Saeed: The Pessoptimist</w:t>
      </w:r>
      <w:r w:rsidR="00421392" w:rsidRPr="00D83034">
        <w:t xml:space="preserve"> </w:t>
      </w:r>
    </w:p>
    <w:p w14:paraId="0C3EA499" w14:textId="77777777" w:rsidR="00644744" w:rsidRPr="00D83034" w:rsidRDefault="00644744" w:rsidP="00644744">
      <w:pPr>
        <w:ind w:left="1440"/>
      </w:pPr>
    </w:p>
    <w:p w14:paraId="0C618E8A" w14:textId="5DDCE22C" w:rsidR="001B557A" w:rsidRPr="00D83034" w:rsidRDefault="001B557A" w:rsidP="001B557A">
      <w:pPr>
        <w:rPr>
          <w:b/>
        </w:rPr>
      </w:pPr>
      <w:r w:rsidRPr="00D83034">
        <w:rPr>
          <w:b/>
        </w:rPr>
        <w:t>February 10:</w:t>
      </w:r>
      <w:r w:rsidR="00644744" w:rsidRPr="00D83034">
        <w:rPr>
          <w:b/>
        </w:rPr>
        <w:t xml:space="preserve"> </w:t>
      </w:r>
      <w:r w:rsidR="00FB430E" w:rsidRPr="00D83034">
        <w:rPr>
          <w:b/>
        </w:rPr>
        <w:tab/>
      </w:r>
      <w:r w:rsidR="00FB430E" w:rsidRPr="00D83034">
        <w:rPr>
          <w:b/>
        </w:rPr>
        <w:tab/>
      </w:r>
      <w:r w:rsidR="00FB430E" w:rsidRPr="00D83034">
        <w:rPr>
          <w:b/>
        </w:rPr>
        <w:tab/>
      </w:r>
      <w:r w:rsidR="00644744" w:rsidRPr="00D83034">
        <w:rPr>
          <w:b/>
        </w:rPr>
        <w:t>Midterm</w:t>
      </w:r>
    </w:p>
    <w:p w14:paraId="15A60121" w14:textId="77777777" w:rsidR="001B557A" w:rsidRPr="00D83034" w:rsidRDefault="001B557A" w:rsidP="001B557A"/>
    <w:p w14:paraId="1C85FCEC" w14:textId="6258C447" w:rsidR="001B557A" w:rsidRPr="00D83034" w:rsidRDefault="001B557A" w:rsidP="001B557A">
      <w:pPr>
        <w:rPr>
          <w:b/>
        </w:rPr>
      </w:pPr>
      <w:r w:rsidRPr="00D83034">
        <w:rPr>
          <w:b/>
        </w:rPr>
        <w:t xml:space="preserve">February 15: </w:t>
      </w:r>
      <w:r w:rsidR="00FB430E" w:rsidRPr="00D83034">
        <w:rPr>
          <w:b/>
        </w:rPr>
        <w:tab/>
      </w:r>
      <w:r w:rsidR="00FB430E" w:rsidRPr="00D83034">
        <w:rPr>
          <w:b/>
        </w:rPr>
        <w:tab/>
      </w:r>
      <w:r w:rsidR="00FB430E" w:rsidRPr="00D83034">
        <w:rPr>
          <w:b/>
        </w:rPr>
        <w:tab/>
      </w:r>
      <w:r w:rsidRPr="00D83034">
        <w:rPr>
          <w:b/>
        </w:rPr>
        <w:t>President’s Day</w:t>
      </w:r>
      <w:r w:rsidR="00E82E0F">
        <w:rPr>
          <w:b/>
        </w:rPr>
        <w:t>: No Class</w:t>
      </w:r>
    </w:p>
    <w:p w14:paraId="2912F34E" w14:textId="77777777" w:rsidR="002012EB" w:rsidRDefault="002012EB" w:rsidP="00644744">
      <w:pPr>
        <w:rPr>
          <w:b/>
          <w:i/>
        </w:rPr>
      </w:pPr>
    </w:p>
    <w:p w14:paraId="4B2BB9E6" w14:textId="053C4678" w:rsidR="00644744" w:rsidRPr="00D83034" w:rsidRDefault="001B557A" w:rsidP="00644744">
      <w:pPr>
        <w:rPr>
          <w:b/>
        </w:rPr>
      </w:pPr>
      <w:r w:rsidRPr="00D83034">
        <w:rPr>
          <w:b/>
        </w:rPr>
        <w:t xml:space="preserve">February 17: </w:t>
      </w:r>
      <w:r w:rsidR="00FB430E" w:rsidRPr="00D83034">
        <w:rPr>
          <w:b/>
        </w:rPr>
        <w:tab/>
      </w:r>
      <w:r w:rsidR="00FB430E" w:rsidRPr="00D83034">
        <w:rPr>
          <w:b/>
        </w:rPr>
        <w:tab/>
      </w:r>
      <w:r w:rsidR="00FB430E" w:rsidRPr="00D83034">
        <w:rPr>
          <w:b/>
        </w:rPr>
        <w:tab/>
      </w:r>
      <w:r w:rsidR="00644744" w:rsidRPr="00D83034">
        <w:rPr>
          <w:b/>
        </w:rPr>
        <w:t xml:space="preserve">Nasser, Arabism, </w:t>
      </w:r>
      <w:r w:rsidR="00E82E0F">
        <w:rPr>
          <w:b/>
        </w:rPr>
        <w:t>and Feminism</w:t>
      </w:r>
    </w:p>
    <w:p w14:paraId="67878E1C" w14:textId="71953C6F" w:rsidR="00644744" w:rsidRPr="00D83034" w:rsidRDefault="00644744" w:rsidP="00FB430E">
      <w:pPr>
        <w:ind w:left="2880"/>
      </w:pPr>
      <w:r w:rsidRPr="00D83034">
        <w:t>Gelvin, Introduction to Part IV: “The Contemporary Era,” Chapter 15: “</w:t>
      </w:r>
      <w:r w:rsidR="00FB430E" w:rsidRPr="00D83034">
        <w:t>The Autocratic State</w:t>
      </w:r>
      <w:r w:rsidRPr="00D83034">
        <w:t>,”</w:t>
      </w:r>
    </w:p>
    <w:p w14:paraId="053C5C66" w14:textId="77777777" w:rsidR="00FB430E" w:rsidRPr="00D83034" w:rsidRDefault="00FB430E" w:rsidP="00644744">
      <w:pPr>
        <w:ind w:left="1440"/>
      </w:pPr>
    </w:p>
    <w:p w14:paraId="5663B50B" w14:textId="3697BE0C" w:rsidR="00644744" w:rsidRPr="002012EB" w:rsidRDefault="002012EB" w:rsidP="00FB430E">
      <w:pPr>
        <w:ind w:left="2880"/>
      </w:pPr>
      <w:r>
        <w:t xml:space="preserve">Laura Bier, “Introduction,” in </w:t>
      </w:r>
      <w:r>
        <w:rPr>
          <w:i/>
        </w:rPr>
        <w:t>Revolutionary Womanhood: Feminisms, Modernity, and the State in Nasser’s Egypt</w:t>
      </w:r>
      <w:r>
        <w:t xml:space="preserve"> (Stanford: Stanford University Press, 2011).</w:t>
      </w:r>
    </w:p>
    <w:p w14:paraId="1E2AD312" w14:textId="77777777" w:rsidR="008E5B8D" w:rsidRPr="00D83034" w:rsidRDefault="008E5B8D" w:rsidP="00FB430E">
      <w:pPr>
        <w:ind w:left="2880"/>
      </w:pPr>
    </w:p>
    <w:p w14:paraId="4B666680" w14:textId="2F2C77E2" w:rsidR="008E5B8D" w:rsidRPr="00D83034" w:rsidRDefault="008E5B8D" w:rsidP="008E5B8D">
      <w:pPr>
        <w:pBdr>
          <w:top w:val="single" w:sz="4" w:space="1" w:color="auto"/>
          <w:left w:val="single" w:sz="4" w:space="4" w:color="auto"/>
          <w:bottom w:val="single" w:sz="4" w:space="1" w:color="auto"/>
          <w:right w:val="single" w:sz="4" w:space="4" w:color="auto"/>
        </w:pBdr>
        <w:ind w:left="2880"/>
      </w:pPr>
      <w:r w:rsidRPr="00D83034">
        <w:t xml:space="preserve">Sayid Qutb, </w:t>
      </w:r>
      <w:r w:rsidRPr="00D83034">
        <w:rPr>
          <w:i/>
        </w:rPr>
        <w:t>Milestones</w:t>
      </w:r>
      <w:r w:rsidRPr="00D83034">
        <w:t xml:space="preserve"> in Gelvin. </w:t>
      </w:r>
    </w:p>
    <w:p w14:paraId="52ED8868" w14:textId="77777777" w:rsidR="008E5B8D" w:rsidRPr="00D83034" w:rsidRDefault="008E5B8D" w:rsidP="008E5B8D"/>
    <w:p w14:paraId="7F85F47C" w14:textId="641C750E" w:rsidR="00644744" w:rsidRPr="00D83034" w:rsidRDefault="001B557A" w:rsidP="00644744">
      <w:pPr>
        <w:rPr>
          <w:b/>
        </w:rPr>
      </w:pPr>
      <w:r w:rsidRPr="00D83034">
        <w:rPr>
          <w:b/>
        </w:rPr>
        <w:t>February 22:</w:t>
      </w:r>
      <w:r w:rsidR="00644744" w:rsidRPr="00D83034">
        <w:rPr>
          <w:b/>
        </w:rPr>
        <w:t xml:space="preserve"> </w:t>
      </w:r>
      <w:r w:rsidR="00FB430E" w:rsidRPr="00D83034">
        <w:rPr>
          <w:b/>
        </w:rPr>
        <w:tab/>
      </w:r>
      <w:r w:rsidR="00FB430E" w:rsidRPr="00D83034">
        <w:rPr>
          <w:b/>
        </w:rPr>
        <w:tab/>
      </w:r>
      <w:r w:rsidR="00FB430E" w:rsidRPr="00D83034">
        <w:rPr>
          <w:b/>
        </w:rPr>
        <w:tab/>
      </w:r>
      <w:r w:rsidR="00644744" w:rsidRPr="00D83034">
        <w:rPr>
          <w:b/>
        </w:rPr>
        <w:t>1967 and the Lebanese Civil War</w:t>
      </w:r>
    </w:p>
    <w:p w14:paraId="510141F1" w14:textId="1433E3DE" w:rsidR="00644744" w:rsidRPr="00D83034" w:rsidRDefault="00644744" w:rsidP="00FB430E">
      <w:pPr>
        <w:tabs>
          <w:tab w:val="left" w:pos="1260"/>
        </w:tabs>
        <w:ind w:left="2880" w:right="-1"/>
      </w:pPr>
      <w:r w:rsidRPr="00D83034">
        <w:t>Abed Dawisha, Chapter Ten: “1967 and After: The Twilight of Arab Nationalism,”</w:t>
      </w:r>
    </w:p>
    <w:p w14:paraId="45B99B50" w14:textId="77777777" w:rsidR="00644744" w:rsidRPr="00D83034" w:rsidRDefault="00644744" w:rsidP="008E5B8D">
      <w:pPr>
        <w:tabs>
          <w:tab w:val="left" w:pos="1260"/>
        </w:tabs>
        <w:ind w:right="-1"/>
      </w:pPr>
    </w:p>
    <w:p w14:paraId="7C881B42" w14:textId="43300903" w:rsidR="00644744" w:rsidRPr="00D83034" w:rsidRDefault="00FB430E" w:rsidP="00644744">
      <w:pPr>
        <w:tabs>
          <w:tab w:val="left" w:pos="1260"/>
        </w:tabs>
        <w:ind w:left="1296" w:right="-1"/>
      </w:pPr>
      <w:r w:rsidRPr="00D83034">
        <w:tab/>
      </w:r>
      <w:r w:rsidRPr="00D83034">
        <w:tab/>
      </w:r>
      <w:r w:rsidRPr="00D83034">
        <w:tab/>
      </w:r>
      <w:r w:rsidR="00644744" w:rsidRPr="00D83034">
        <w:t xml:space="preserve">Picard, </w:t>
      </w:r>
      <w:r w:rsidR="00644744" w:rsidRPr="00D83034">
        <w:rPr>
          <w:i/>
        </w:rPr>
        <w:t xml:space="preserve">Lebanon: A Shattered Country, </w:t>
      </w:r>
      <w:r w:rsidR="00644744" w:rsidRPr="00D83034">
        <w:t>141-53.</w:t>
      </w:r>
    </w:p>
    <w:p w14:paraId="57FFF45D" w14:textId="64BA80C6" w:rsidR="008E5B8D" w:rsidRPr="00D83034" w:rsidRDefault="00C16D06" w:rsidP="00644744">
      <w:pPr>
        <w:tabs>
          <w:tab w:val="left" w:pos="1260"/>
        </w:tabs>
        <w:ind w:left="1296" w:right="-1"/>
      </w:pPr>
      <w:r w:rsidRPr="00D83034">
        <w:tab/>
      </w:r>
      <w:r w:rsidRPr="00D83034">
        <w:tab/>
      </w:r>
      <w:r w:rsidRPr="00D83034">
        <w:tab/>
      </w:r>
    </w:p>
    <w:p w14:paraId="2F831413" w14:textId="77777777" w:rsidR="00C16D06" w:rsidRPr="00D83034" w:rsidRDefault="00C16D06" w:rsidP="002012EB">
      <w:pPr>
        <w:ind w:left="2880"/>
      </w:pPr>
      <w:r w:rsidRPr="00D83034">
        <w:rPr>
          <w:i/>
        </w:rPr>
        <w:t>West Beyrouth</w:t>
      </w:r>
      <w:r w:rsidRPr="00D83034">
        <w:t xml:space="preserve"> (film) (Metrodome Films, 2007). </w:t>
      </w:r>
    </w:p>
    <w:p w14:paraId="1D5CAC9F" w14:textId="52A5F6E4" w:rsidR="00C16D06" w:rsidRPr="00D83034" w:rsidRDefault="00C16D06" w:rsidP="002012EB">
      <w:pPr>
        <w:ind w:left="2880"/>
        <w:rPr>
          <w:rFonts w:eastAsia="Times New Roman" w:cs="Times New Roman"/>
        </w:rPr>
      </w:pPr>
      <w:r w:rsidRPr="00D83034">
        <w:rPr>
          <w:rFonts w:eastAsia="Arial Unicode MS" w:cs="Arial Unicode MS"/>
          <w:color w:val="312D2E"/>
        </w:rPr>
        <w:t>Media PN1997 .W448 2000 DVD </w:t>
      </w:r>
    </w:p>
    <w:p w14:paraId="259409D7" w14:textId="77777777" w:rsidR="001B557A" w:rsidRPr="00D83034" w:rsidRDefault="001B557A" w:rsidP="001B557A"/>
    <w:p w14:paraId="6CAE907D" w14:textId="79845740" w:rsidR="00644744" w:rsidRPr="00D83034" w:rsidRDefault="001B557A" w:rsidP="00644744">
      <w:pPr>
        <w:rPr>
          <w:b/>
        </w:rPr>
      </w:pPr>
      <w:r w:rsidRPr="00D83034">
        <w:rPr>
          <w:b/>
        </w:rPr>
        <w:t>February 24:</w:t>
      </w:r>
      <w:r w:rsidR="00644744" w:rsidRPr="00D83034">
        <w:rPr>
          <w:b/>
        </w:rPr>
        <w:t xml:space="preserve"> </w:t>
      </w:r>
      <w:r w:rsidR="00FB430E" w:rsidRPr="00D83034">
        <w:rPr>
          <w:b/>
        </w:rPr>
        <w:tab/>
      </w:r>
      <w:r w:rsidR="00FB430E" w:rsidRPr="00D83034">
        <w:rPr>
          <w:b/>
        </w:rPr>
        <w:tab/>
      </w:r>
      <w:r w:rsidR="00FB430E" w:rsidRPr="00D83034">
        <w:rPr>
          <w:b/>
        </w:rPr>
        <w:tab/>
      </w:r>
      <w:r w:rsidR="00644744" w:rsidRPr="00D83034">
        <w:rPr>
          <w:b/>
        </w:rPr>
        <w:t xml:space="preserve">Iranian Revolution and </w:t>
      </w:r>
      <w:r w:rsidR="00421392" w:rsidRPr="00D83034">
        <w:rPr>
          <w:b/>
        </w:rPr>
        <w:t>the Rise of Political Islam</w:t>
      </w:r>
    </w:p>
    <w:p w14:paraId="7FEA082A" w14:textId="604E4139" w:rsidR="00644744" w:rsidRPr="00D83034" w:rsidRDefault="00644744" w:rsidP="00644744">
      <w:r w:rsidRPr="00D83034">
        <w:rPr>
          <w:b/>
        </w:rPr>
        <w:tab/>
      </w:r>
      <w:r w:rsidRPr="00D83034">
        <w:rPr>
          <w:b/>
        </w:rPr>
        <w:tab/>
      </w:r>
      <w:r w:rsidR="00FB430E" w:rsidRPr="00D83034">
        <w:rPr>
          <w:b/>
        </w:rPr>
        <w:tab/>
      </w:r>
      <w:r w:rsidR="00FB430E" w:rsidRPr="00D83034">
        <w:rPr>
          <w:b/>
        </w:rPr>
        <w:tab/>
      </w:r>
      <w:r w:rsidRPr="00D83034">
        <w:t>Gelvin, Chapter Nineteen: “</w:t>
      </w:r>
      <w:r w:rsidR="00FB430E" w:rsidRPr="00D83034">
        <w:t>Resistance</w:t>
      </w:r>
      <w:r w:rsidRPr="00D83034">
        <w:t>”</w:t>
      </w:r>
    </w:p>
    <w:p w14:paraId="5D63E33C" w14:textId="77777777" w:rsidR="00FB430E" w:rsidRPr="00D83034" w:rsidRDefault="00FB430E" w:rsidP="00FB430E">
      <w:pPr>
        <w:ind w:left="2880"/>
      </w:pPr>
    </w:p>
    <w:p w14:paraId="50481DBB" w14:textId="45B21F34" w:rsidR="00644744" w:rsidRPr="00D83034" w:rsidRDefault="00644744" w:rsidP="00FB430E">
      <w:pPr>
        <w:ind w:left="2880"/>
      </w:pPr>
      <w:r w:rsidRPr="00D83034">
        <w:lastRenderedPageBreak/>
        <w:t xml:space="preserve">Thompson, Chapter Ten: “Sayyid Qutb and Ali Shariati: The Idea of </w:t>
      </w:r>
      <w:r w:rsidR="00FB430E" w:rsidRPr="00D83034">
        <w:t>I</w:t>
      </w:r>
      <w:r w:rsidRPr="00D83034">
        <w:t>slamic Revolution in Egypt and Iran”</w:t>
      </w:r>
    </w:p>
    <w:p w14:paraId="79A96D1E" w14:textId="77777777" w:rsidR="00644744" w:rsidRPr="00D83034" w:rsidRDefault="00644744" w:rsidP="00644744">
      <w:r w:rsidRPr="00D83034">
        <w:tab/>
      </w:r>
      <w:r w:rsidRPr="00D83034">
        <w:tab/>
      </w:r>
    </w:p>
    <w:p w14:paraId="4190872E" w14:textId="224490D1" w:rsidR="00C16D06" w:rsidRPr="00D83034" w:rsidRDefault="00421392" w:rsidP="00C16D06">
      <w:pPr>
        <w:pBdr>
          <w:top w:val="single" w:sz="4" w:space="1" w:color="auto"/>
          <w:left w:val="single" w:sz="4" w:space="4" w:color="auto"/>
          <w:bottom w:val="single" w:sz="4" w:space="1" w:color="auto"/>
          <w:right w:val="single" w:sz="4" w:space="4" w:color="auto"/>
        </w:pBdr>
        <w:ind w:left="2880"/>
      </w:pPr>
      <w:r w:rsidRPr="00D83034">
        <w:rPr>
          <w:i/>
        </w:rPr>
        <w:t>Persepolis</w:t>
      </w:r>
      <w:r w:rsidR="008E5B8D" w:rsidRPr="00D83034">
        <w:t xml:space="preserve"> (</w:t>
      </w:r>
      <w:r w:rsidR="00C16D06" w:rsidRPr="00D83034">
        <w:t xml:space="preserve">animated </w:t>
      </w:r>
      <w:r w:rsidR="008E5B8D" w:rsidRPr="00D83034">
        <w:t xml:space="preserve">film based on graphic novel by </w:t>
      </w:r>
      <w:r w:rsidR="00C16D06" w:rsidRPr="00D83034">
        <w:t>Marjane Satrapi)</w:t>
      </w:r>
      <w:r w:rsidR="008E5B8D" w:rsidRPr="00D83034">
        <w:rPr>
          <w:i/>
        </w:rPr>
        <w:t xml:space="preserve"> </w:t>
      </w:r>
      <w:r w:rsidR="00C16D06" w:rsidRPr="00D83034">
        <w:t>(Sony Pictures Home Entertainment, 2008).</w:t>
      </w:r>
    </w:p>
    <w:p w14:paraId="15C23963" w14:textId="609EDA55" w:rsidR="008E5B8D" w:rsidRPr="00D83034" w:rsidRDefault="008E5B8D" w:rsidP="00C16D06">
      <w:pPr>
        <w:pBdr>
          <w:top w:val="single" w:sz="4" w:space="1" w:color="auto"/>
          <w:left w:val="single" w:sz="4" w:space="4" w:color="auto"/>
          <w:bottom w:val="single" w:sz="4" w:space="1" w:color="auto"/>
          <w:right w:val="single" w:sz="4" w:space="4" w:color="auto"/>
        </w:pBdr>
        <w:ind w:left="2880"/>
        <w:rPr>
          <w:rFonts w:eastAsia="Times New Roman" w:cs="Times New Roman"/>
        </w:rPr>
      </w:pPr>
      <w:r w:rsidRPr="00D83034">
        <w:rPr>
          <w:rFonts w:eastAsia="Arial Unicode MS" w:cs="Arial Unicode MS"/>
          <w:color w:val="312D2E"/>
        </w:rPr>
        <w:t>Media PN1997.2 .P472 2008</w:t>
      </w:r>
    </w:p>
    <w:p w14:paraId="1E75E6B7" w14:textId="77777777" w:rsidR="001E7FA2" w:rsidRDefault="001E7FA2" w:rsidP="00644744">
      <w:pPr>
        <w:rPr>
          <w:b/>
        </w:rPr>
      </w:pPr>
    </w:p>
    <w:p w14:paraId="2C20AF62" w14:textId="77777777" w:rsidR="001E7FA2" w:rsidRDefault="001E7FA2" w:rsidP="00644744">
      <w:pPr>
        <w:rPr>
          <w:b/>
        </w:rPr>
      </w:pPr>
    </w:p>
    <w:p w14:paraId="40F63B5C" w14:textId="1E5EBC43" w:rsidR="00644744" w:rsidRPr="00D83034" w:rsidRDefault="001B557A" w:rsidP="00644744">
      <w:pPr>
        <w:rPr>
          <w:b/>
        </w:rPr>
      </w:pPr>
      <w:r w:rsidRPr="00D83034">
        <w:rPr>
          <w:b/>
        </w:rPr>
        <w:t>February 29:</w:t>
      </w:r>
      <w:r w:rsidR="00644744" w:rsidRPr="00D83034">
        <w:rPr>
          <w:b/>
        </w:rPr>
        <w:t xml:space="preserve"> </w:t>
      </w:r>
      <w:r w:rsidR="00FB430E" w:rsidRPr="00D83034">
        <w:rPr>
          <w:b/>
        </w:rPr>
        <w:tab/>
      </w:r>
      <w:r w:rsidR="00FB430E" w:rsidRPr="00D83034">
        <w:rPr>
          <w:b/>
        </w:rPr>
        <w:tab/>
      </w:r>
      <w:r w:rsidR="00FB430E" w:rsidRPr="00D83034">
        <w:rPr>
          <w:b/>
        </w:rPr>
        <w:tab/>
      </w:r>
      <w:r w:rsidR="00644744" w:rsidRPr="00D83034">
        <w:rPr>
          <w:b/>
        </w:rPr>
        <w:t>Petroleum versus Popular Sovereignty</w:t>
      </w:r>
    </w:p>
    <w:p w14:paraId="41501063" w14:textId="77777777" w:rsidR="00644744" w:rsidRPr="00D83034" w:rsidRDefault="00644744" w:rsidP="00FB430E">
      <w:pPr>
        <w:ind w:left="2880"/>
      </w:pPr>
      <w:r w:rsidRPr="00D83034">
        <w:t>Gelvin, Chapter Sixteen: “Oil” and Chapter Seventeen: “The United States and the Middle East”</w:t>
      </w:r>
    </w:p>
    <w:p w14:paraId="3791893F" w14:textId="77777777" w:rsidR="00644744" w:rsidRPr="00D83034" w:rsidRDefault="00644744" w:rsidP="00644744">
      <w:pPr>
        <w:ind w:left="1440"/>
      </w:pPr>
    </w:p>
    <w:p w14:paraId="372CFAF7" w14:textId="352922BE" w:rsidR="001B557A" w:rsidRDefault="00644744" w:rsidP="00FB430E">
      <w:pPr>
        <w:ind w:left="2880"/>
      </w:pPr>
      <w:r w:rsidRPr="00D83034">
        <w:t xml:space="preserve">Jones, “Seeking a ‘Social Contract’ for Saudi Arabia.” </w:t>
      </w:r>
      <w:r w:rsidRPr="00D83034">
        <w:rPr>
          <w:rStyle w:val="Emphasis"/>
        </w:rPr>
        <w:t>Middle East Report</w:t>
      </w:r>
      <w:r w:rsidRPr="00D83034">
        <w:t>, 228, Fall 2003, 42-48.</w:t>
      </w:r>
    </w:p>
    <w:p w14:paraId="31A9246A" w14:textId="77777777" w:rsidR="00BC7CE5" w:rsidRPr="00D83034" w:rsidRDefault="00BC7CE5" w:rsidP="00FB430E">
      <w:pPr>
        <w:ind w:left="2880"/>
      </w:pPr>
    </w:p>
    <w:p w14:paraId="6C387AAC" w14:textId="606CE59B" w:rsidR="00644744" w:rsidRPr="00D83034" w:rsidRDefault="001B557A" w:rsidP="00644744">
      <w:pPr>
        <w:rPr>
          <w:b/>
        </w:rPr>
      </w:pPr>
      <w:r w:rsidRPr="00D83034">
        <w:rPr>
          <w:b/>
        </w:rPr>
        <w:t>March 2:</w:t>
      </w:r>
      <w:r w:rsidR="00644744" w:rsidRPr="00D83034">
        <w:rPr>
          <w:b/>
        </w:rPr>
        <w:t xml:space="preserve"> </w:t>
      </w:r>
      <w:r w:rsidR="00FB430E" w:rsidRPr="00D83034">
        <w:rPr>
          <w:b/>
        </w:rPr>
        <w:tab/>
      </w:r>
      <w:r w:rsidR="00FB430E" w:rsidRPr="00D83034">
        <w:rPr>
          <w:b/>
        </w:rPr>
        <w:tab/>
      </w:r>
      <w:r w:rsidR="00FB430E" w:rsidRPr="00D83034">
        <w:rPr>
          <w:b/>
        </w:rPr>
        <w:tab/>
      </w:r>
      <w:r w:rsidR="00421392" w:rsidRPr="00D83034">
        <w:rPr>
          <w:b/>
        </w:rPr>
        <w:t>Iraq: From Saddam to US Occupation</w:t>
      </w:r>
    </w:p>
    <w:p w14:paraId="4783DED2" w14:textId="0AAF182C" w:rsidR="00C16D06" w:rsidRPr="00D83034" w:rsidRDefault="00C16D06" w:rsidP="00FE45D1">
      <w:pPr>
        <w:ind w:left="2880"/>
      </w:pPr>
      <w:r w:rsidRPr="00D83034">
        <w:t>William Cleveland</w:t>
      </w:r>
      <w:r w:rsidR="00FE45D1">
        <w:t xml:space="preserve"> and Martin Bunton</w:t>
      </w:r>
      <w:r w:rsidRPr="00D83034">
        <w:t xml:space="preserve">, </w:t>
      </w:r>
      <w:r w:rsidRPr="00D83034">
        <w:rPr>
          <w:i/>
        </w:rPr>
        <w:t>A History of the Modern Middle East</w:t>
      </w:r>
      <w:r w:rsidR="00FE45D1">
        <w:rPr>
          <w:i/>
        </w:rPr>
        <w:t xml:space="preserve"> </w:t>
      </w:r>
      <w:r w:rsidR="00FE45D1">
        <w:t>(fourth edition), (Boulder, Westview Press, 2009),478-490</w:t>
      </w:r>
      <w:r w:rsidRPr="00D83034">
        <w:t>.</w:t>
      </w:r>
    </w:p>
    <w:p w14:paraId="6CEB087F" w14:textId="3CAF5339" w:rsidR="001B557A" w:rsidRDefault="00D83034" w:rsidP="00421392">
      <w:r>
        <w:tab/>
      </w:r>
      <w:r>
        <w:tab/>
      </w:r>
      <w:r>
        <w:tab/>
      </w:r>
      <w:r>
        <w:tab/>
      </w:r>
    </w:p>
    <w:p w14:paraId="7D90F260" w14:textId="40479DCA" w:rsidR="00D83034" w:rsidRPr="00BC7CE5" w:rsidRDefault="00D83034" w:rsidP="002012EB">
      <w:pPr>
        <w:pBdr>
          <w:top w:val="single" w:sz="4" w:space="1" w:color="auto"/>
          <w:left w:val="single" w:sz="4" w:space="4" w:color="auto"/>
          <w:bottom w:val="single" w:sz="4" w:space="1" w:color="auto"/>
          <w:right w:val="single" w:sz="4" w:space="4" w:color="auto"/>
        </w:pBdr>
        <w:ind w:left="2880"/>
      </w:pPr>
      <w:r>
        <w:t>Mona Damluji, “‘Securing Democracy in Iraq’: Sectarian Politics and Segregation in Baghdad, 2003-2007”</w:t>
      </w:r>
      <w:r w:rsidR="00BC7CE5">
        <w:t xml:space="preserve"> </w:t>
      </w:r>
      <w:r w:rsidR="00BC7CE5">
        <w:rPr>
          <w:i/>
        </w:rPr>
        <w:t xml:space="preserve">TDSR </w:t>
      </w:r>
      <w:r w:rsidR="00BC7CE5">
        <w:t>21 No. 2 (2010): 71</w:t>
      </w:r>
      <w:r w:rsidR="00E82E0F">
        <w:t>-87.</w:t>
      </w:r>
    </w:p>
    <w:p w14:paraId="53B8B9FB" w14:textId="77777777" w:rsidR="00D83034" w:rsidRPr="00D83034" w:rsidRDefault="00D83034" w:rsidP="00D83034">
      <w:pPr>
        <w:ind w:left="2880"/>
      </w:pPr>
    </w:p>
    <w:p w14:paraId="60D77AD9" w14:textId="4DA3E75F" w:rsidR="00644744" w:rsidRPr="00D83034" w:rsidRDefault="001B557A" w:rsidP="00644744">
      <w:pPr>
        <w:rPr>
          <w:b/>
        </w:rPr>
      </w:pPr>
      <w:r w:rsidRPr="00D83034">
        <w:rPr>
          <w:b/>
        </w:rPr>
        <w:t>March 7:</w:t>
      </w:r>
      <w:r w:rsidR="00644744" w:rsidRPr="00D83034">
        <w:rPr>
          <w:b/>
        </w:rPr>
        <w:t xml:space="preserve">  </w:t>
      </w:r>
      <w:r w:rsidR="00421392" w:rsidRPr="00D83034">
        <w:rPr>
          <w:b/>
        </w:rPr>
        <w:tab/>
      </w:r>
      <w:r w:rsidR="00421392" w:rsidRPr="00D83034">
        <w:rPr>
          <w:b/>
        </w:rPr>
        <w:tab/>
      </w:r>
      <w:r w:rsidR="00421392" w:rsidRPr="00D83034">
        <w:rPr>
          <w:b/>
        </w:rPr>
        <w:tab/>
        <w:t>From the “Arab Spring” to ISIS</w:t>
      </w:r>
    </w:p>
    <w:p w14:paraId="5B65C7DD" w14:textId="305CF249" w:rsidR="00421392" w:rsidRPr="00D83034" w:rsidRDefault="00421392" w:rsidP="00421392">
      <w:pPr>
        <w:ind w:left="2880"/>
        <w:rPr>
          <w:rFonts w:cs="Arial"/>
        </w:rPr>
      </w:pPr>
      <w:r w:rsidRPr="00D83034">
        <w:rPr>
          <w:rFonts w:cs="Arial"/>
        </w:rPr>
        <w:t>Gelvin, Chapter Nineteen “The Arab Uprisings,” and Chapter Twenty “The End of an Era?”</w:t>
      </w:r>
    </w:p>
    <w:p w14:paraId="78C7AA3D" w14:textId="77777777" w:rsidR="00421392" w:rsidRPr="00D83034" w:rsidRDefault="00421392" w:rsidP="00421392">
      <w:pPr>
        <w:ind w:left="2880"/>
        <w:rPr>
          <w:rFonts w:cs="Arial"/>
        </w:rPr>
      </w:pPr>
    </w:p>
    <w:p w14:paraId="1EDAF08E" w14:textId="6A906C44" w:rsidR="00421392" w:rsidRPr="00FE45D1" w:rsidRDefault="00421392" w:rsidP="00421392">
      <w:pPr>
        <w:ind w:left="2880"/>
        <w:rPr>
          <w:rFonts w:cs="Arial"/>
        </w:rPr>
      </w:pPr>
      <w:r w:rsidRPr="00D83034">
        <w:rPr>
          <w:rFonts w:cs="Arial"/>
        </w:rPr>
        <w:t>Ahmad Shokr,</w:t>
      </w:r>
      <w:r w:rsidR="00FE45D1">
        <w:rPr>
          <w:rFonts w:cs="Arial"/>
        </w:rPr>
        <w:t xml:space="preserve"> “The 18 Days of Tahrir,” </w:t>
      </w:r>
      <w:r w:rsidR="00FE45D1">
        <w:rPr>
          <w:rFonts w:cs="Arial"/>
          <w:i/>
        </w:rPr>
        <w:t>Middle East Research and Information Project</w:t>
      </w:r>
      <w:r w:rsidR="00FE45D1">
        <w:rPr>
          <w:rFonts w:cs="Arial"/>
        </w:rPr>
        <w:t xml:space="preserve"> 41 (Spring 2011).</w:t>
      </w:r>
    </w:p>
    <w:p w14:paraId="504B3DF1" w14:textId="77777777" w:rsidR="00421392" w:rsidRPr="00D83034" w:rsidRDefault="00421392" w:rsidP="00421392">
      <w:pPr>
        <w:ind w:left="2880"/>
        <w:rPr>
          <w:rFonts w:cs="Arial"/>
        </w:rPr>
      </w:pPr>
    </w:p>
    <w:p w14:paraId="6E62D921" w14:textId="1E865686" w:rsidR="00421392" w:rsidRPr="00FE45D1" w:rsidRDefault="00421392" w:rsidP="002012EB">
      <w:pPr>
        <w:pBdr>
          <w:top w:val="single" w:sz="4" w:space="1" w:color="auto"/>
          <w:left w:val="single" w:sz="4" w:space="4" w:color="auto"/>
          <w:bottom w:val="single" w:sz="4" w:space="1" w:color="auto"/>
          <w:right w:val="single" w:sz="4" w:space="4" w:color="auto"/>
        </w:pBdr>
        <w:ind w:left="2880"/>
        <w:rPr>
          <w:rFonts w:cs="Arial"/>
        </w:rPr>
      </w:pPr>
      <w:r w:rsidRPr="00D83034">
        <w:rPr>
          <w:rFonts w:cs="Arial"/>
        </w:rPr>
        <w:t>Darryl Li, “A Jihadism Anti-Primer”</w:t>
      </w:r>
      <w:r w:rsidR="00FE45D1">
        <w:rPr>
          <w:rFonts w:cs="Arial"/>
        </w:rPr>
        <w:t xml:space="preserve"> </w:t>
      </w:r>
      <w:r w:rsidR="00FE45D1">
        <w:rPr>
          <w:rFonts w:cs="Arial"/>
          <w:i/>
        </w:rPr>
        <w:t xml:space="preserve">Middle East Research and Information Project </w:t>
      </w:r>
      <w:r w:rsidR="00FE45D1">
        <w:rPr>
          <w:rFonts w:cs="Arial"/>
        </w:rPr>
        <w:t>45 (Fall 2015).</w:t>
      </w:r>
    </w:p>
    <w:p w14:paraId="5DE468E2" w14:textId="77777777" w:rsidR="00421392" w:rsidRPr="00D83034" w:rsidRDefault="00421392" w:rsidP="00421392">
      <w:pPr>
        <w:ind w:left="2880"/>
        <w:rPr>
          <w:rFonts w:cs="Arial"/>
        </w:rPr>
      </w:pPr>
    </w:p>
    <w:p w14:paraId="11896957" w14:textId="09C955B6" w:rsidR="001B557A" w:rsidRPr="00D83034" w:rsidRDefault="001B557A">
      <w:pPr>
        <w:rPr>
          <w:b/>
        </w:rPr>
      </w:pPr>
      <w:r w:rsidRPr="00D83034">
        <w:rPr>
          <w:b/>
        </w:rPr>
        <w:t xml:space="preserve">March 9: </w:t>
      </w:r>
      <w:r w:rsidR="00692F4E" w:rsidRPr="00D83034">
        <w:rPr>
          <w:b/>
        </w:rPr>
        <w:tab/>
      </w:r>
      <w:r w:rsidR="00692F4E" w:rsidRPr="00D83034">
        <w:rPr>
          <w:b/>
        </w:rPr>
        <w:tab/>
      </w:r>
      <w:r w:rsidR="00692F4E" w:rsidRPr="00D83034">
        <w:rPr>
          <w:b/>
        </w:rPr>
        <w:tab/>
      </w:r>
      <w:r w:rsidRPr="00D83034">
        <w:rPr>
          <w:b/>
        </w:rPr>
        <w:t>No Class</w:t>
      </w:r>
      <w:r w:rsidR="00520131" w:rsidRPr="00D83034">
        <w:rPr>
          <w:b/>
        </w:rPr>
        <w:t>: Annotated Bibliography Due</w:t>
      </w:r>
    </w:p>
    <w:p w14:paraId="4CB15F13" w14:textId="77777777" w:rsidR="00421392" w:rsidRPr="00D83034" w:rsidRDefault="00421392"/>
    <w:p w14:paraId="29ACE9FF" w14:textId="7361BFBA" w:rsidR="00520131" w:rsidRPr="00D83034" w:rsidRDefault="00520131" w:rsidP="00D83034">
      <w:pPr>
        <w:ind w:left="2880" w:hanging="2880"/>
        <w:rPr>
          <w:b/>
        </w:rPr>
      </w:pPr>
      <w:r w:rsidRPr="00D83034">
        <w:rPr>
          <w:b/>
        </w:rPr>
        <w:t xml:space="preserve">March </w:t>
      </w:r>
      <w:r w:rsidR="00FE45D1">
        <w:rPr>
          <w:b/>
        </w:rPr>
        <w:t>16</w:t>
      </w:r>
      <w:r w:rsidRPr="00D83034">
        <w:rPr>
          <w:b/>
        </w:rPr>
        <w:t xml:space="preserve">: </w:t>
      </w:r>
      <w:r w:rsidR="00D83034">
        <w:rPr>
          <w:b/>
        </w:rPr>
        <w:tab/>
      </w:r>
      <w:r w:rsidRPr="00D83034">
        <w:rPr>
          <w:b/>
        </w:rPr>
        <w:t xml:space="preserve">Take home exam distributed </w:t>
      </w:r>
      <w:r w:rsidR="00D83034">
        <w:rPr>
          <w:b/>
        </w:rPr>
        <w:t>by email at</w:t>
      </w:r>
      <w:r w:rsidRPr="00D83034">
        <w:rPr>
          <w:b/>
        </w:rPr>
        <w:t xml:space="preserve"> 8 am in the morning, due </w:t>
      </w:r>
      <w:r w:rsidR="00D83034">
        <w:rPr>
          <w:b/>
        </w:rPr>
        <w:t>back to me by email at 5 pm.</w:t>
      </w:r>
      <w:r w:rsidRPr="00D83034">
        <w:rPr>
          <w:b/>
        </w:rPr>
        <w:t xml:space="preserve"> </w:t>
      </w:r>
    </w:p>
    <w:p w14:paraId="12B4D5CF" w14:textId="77777777" w:rsidR="00520131" w:rsidRPr="00D83034" w:rsidRDefault="00520131"/>
    <w:sectPr w:rsidR="00520131" w:rsidRPr="00D83034" w:rsidSect="00E87D2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7DCBE" w14:textId="77777777" w:rsidR="007458F1" w:rsidRDefault="007458F1" w:rsidP="00E82E0F">
      <w:r>
        <w:separator/>
      </w:r>
    </w:p>
  </w:endnote>
  <w:endnote w:type="continuationSeparator" w:id="0">
    <w:p w14:paraId="27ADE2D2" w14:textId="77777777" w:rsidR="007458F1" w:rsidRDefault="007458F1" w:rsidP="00E82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auto"/>
    <w:pitch w:val="variable"/>
    <w:sig w:usb0="E00002FF" w:usb1="6AC7FDFB" w:usb2="08000012" w:usb3="00000000" w:csb0="0002009F" w:csb1="00000000"/>
  </w:font>
  <w:font w:name="Arial Unicode MS">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4D540" w14:textId="77777777" w:rsidR="00E82E0F" w:rsidRDefault="00E82E0F" w:rsidP="00B042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1F5F0" w14:textId="77777777" w:rsidR="00E82E0F" w:rsidRDefault="00E82E0F" w:rsidP="00E82E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14675" w14:textId="77777777" w:rsidR="00E82E0F" w:rsidRDefault="00E82E0F" w:rsidP="00B042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7DB1">
      <w:rPr>
        <w:rStyle w:val="PageNumber"/>
        <w:noProof/>
      </w:rPr>
      <w:t>1</w:t>
    </w:r>
    <w:r>
      <w:rPr>
        <w:rStyle w:val="PageNumber"/>
      </w:rPr>
      <w:fldChar w:fldCharType="end"/>
    </w:r>
  </w:p>
  <w:p w14:paraId="3F6968AB" w14:textId="77777777" w:rsidR="00E82E0F" w:rsidRDefault="00E82E0F" w:rsidP="00E82E0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8D1C0" w14:textId="77777777" w:rsidR="007458F1" w:rsidRDefault="007458F1" w:rsidP="00E82E0F">
      <w:r>
        <w:separator/>
      </w:r>
    </w:p>
  </w:footnote>
  <w:footnote w:type="continuationSeparator" w:id="0">
    <w:p w14:paraId="69EE4969" w14:textId="77777777" w:rsidR="007458F1" w:rsidRDefault="007458F1" w:rsidP="00E82E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02CF5"/>
    <w:multiLevelType w:val="hybridMultilevel"/>
    <w:tmpl w:val="BBC036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5AF24E4F"/>
    <w:multiLevelType w:val="hybridMultilevel"/>
    <w:tmpl w:val="FEAC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596B70"/>
    <w:multiLevelType w:val="hybridMultilevel"/>
    <w:tmpl w:val="0292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57A"/>
    <w:rsid w:val="001B557A"/>
    <w:rsid w:val="001D40EF"/>
    <w:rsid w:val="001E7FA2"/>
    <w:rsid w:val="002012EB"/>
    <w:rsid w:val="00367A8D"/>
    <w:rsid w:val="003C15F3"/>
    <w:rsid w:val="003D1CE6"/>
    <w:rsid w:val="00421392"/>
    <w:rsid w:val="004A4679"/>
    <w:rsid w:val="005127C0"/>
    <w:rsid w:val="00520131"/>
    <w:rsid w:val="00562F04"/>
    <w:rsid w:val="0063261A"/>
    <w:rsid w:val="00644744"/>
    <w:rsid w:val="00692F4E"/>
    <w:rsid w:val="0074246C"/>
    <w:rsid w:val="007458F1"/>
    <w:rsid w:val="0076492B"/>
    <w:rsid w:val="008E5B8D"/>
    <w:rsid w:val="00900353"/>
    <w:rsid w:val="00962001"/>
    <w:rsid w:val="00AC6A6F"/>
    <w:rsid w:val="00BC4C76"/>
    <w:rsid w:val="00BC7CE5"/>
    <w:rsid w:val="00C0036A"/>
    <w:rsid w:val="00C16D06"/>
    <w:rsid w:val="00D83034"/>
    <w:rsid w:val="00DC7DB1"/>
    <w:rsid w:val="00DE4A51"/>
    <w:rsid w:val="00E82E0F"/>
    <w:rsid w:val="00E87D22"/>
    <w:rsid w:val="00F57357"/>
    <w:rsid w:val="00F80643"/>
    <w:rsid w:val="00FB430E"/>
    <w:rsid w:val="00FE4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DE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644744"/>
    <w:rPr>
      <w:i/>
    </w:rPr>
  </w:style>
  <w:style w:type="character" w:styleId="Hyperlink">
    <w:name w:val="Hyperlink"/>
    <w:basedOn w:val="DefaultParagraphFont"/>
    <w:uiPriority w:val="99"/>
    <w:unhideWhenUsed/>
    <w:rsid w:val="00C0036A"/>
    <w:rPr>
      <w:color w:val="0563C1" w:themeColor="hyperlink"/>
      <w:u w:val="single"/>
    </w:rPr>
  </w:style>
  <w:style w:type="character" w:styleId="FollowedHyperlink">
    <w:name w:val="FollowedHyperlink"/>
    <w:basedOn w:val="DefaultParagraphFont"/>
    <w:uiPriority w:val="99"/>
    <w:semiHidden/>
    <w:unhideWhenUsed/>
    <w:rsid w:val="00C0036A"/>
    <w:rPr>
      <w:color w:val="954F72" w:themeColor="followedHyperlink"/>
      <w:u w:val="single"/>
    </w:rPr>
  </w:style>
  <w:style w:type="paragraph" w:styleId="ListParagraph">
    <w:name w:val="List Paragraph"/>
    <w:basedOn w:val="Normal"/>
    <w:uiPriority w:val="34"/>
    <w:qFormat/>
    <w:rsid w:val="00F57357"/>
    <w:pPr>
      <w:ind w:left="720"/>
      <w:contextualSpacing/>
    </w:pPr>
  </w:style>
  <w:style w:type="character" w:styleId="Strong">
    <w:name w:val="Strong"/>
    <w:basedOn w:val="DefaultParagraphFont"/>
    <w:uiPriority w:val="22"/>
    <w:qFormat/>
    <w:rsid w:val="00562F04"/>
    <w:rPr>
      <w:b/>
      <w:bCs/>
    </w:rPr>
  </w:style>
  <w:style w:type="character" w:customStyle="1" w:styleId="apple-converted-space">
    <w:name w:val="apple-converted-space"/>
    <w:basedOn w:val="DefaultParagraphFont"/>
    <w:rsid w:val="00C16D06"/>
  </w:style>
  <w:style w:type="paragraph" w:styleId="Footer">
    <w:name w:val="footer"/>
    <w:basedOn w:val="Normal"/>
    <w:link w:val="FooterChar"/>
    <w:uiPriority w:val="99"/>
    <w:unhideWhenUsed/>
    <w:rsid w:val="00E82E0F"/>
    <w:pPr>
      <w:tabs>
        <w:tab w:val="center" w:pos="4680"/>
        <w:tab w:val="right" w:pos="9360"/>
      </w:tabs>
    </w:pPr>
  </w:style>
  <w:style w:type="character" w:customStyle="1" w:styleId="FooterChar">
    <w:name w:val="Footer Char"/>
    <w:basedOn w:val="DefaultParagraphFont"/>
    <w:link w:val="Footer"/>
    <w:uiPriority w:val="99"/>
    <w:rsid w:val="00E82E0F"/>
  </w:style>
  <w:style w:type="character" w:styleId="PageNumber">
    <w:name w:val="page number"/>
    <w:basedOn w:val="DefaultParagraphFont"/>
    <w:uiPriority w:val="99"/>
    <w:semiHidden/>
    <w:unhideWhenUsed/>
    <w:rsid w:val="00E82E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644744"/>
    <w:rPr>
      <w:i/>
    </w:rPr>
  </w:style>
  <w:style w:type="character" w:styleId="Hyperlink">
    <w:name w:val="Hyperlink"/>
    <w:basedOn w:val="DefaultParagraphFont"/>
    <w:uiPriority w:val="99"/>
    <w:unhideWhenUsed/>
    <w:rsid w:val="00C0036A"/>
    <w:rPr>
      <w:color w:val="0563C1" w:themeColor="hyperlink"/>
      <w:u w:val="single"/>
    </w:rPr>
  </w:style>
  <w:style w:type="character" w:styleId="FollowedHyperlink">
    <w:name w:val="FollowedHyperlink"/>
    <w:basedOn w:val="DefaultParagraphFont"/>
    <w:uiPriority w:val="99"/>
    <w:semiHidden/>
    <w:unhideWhenUsed/>
    <w:rsid w:val="00C0036A"/>
    <w:rPr>
      <w:color w:val="954F72" w:themeColor="followedHyperlink"/>
      <w:u w:val="single"/>
    </w:rPr>
  </w:style>
  <w:style w:type="paragraph" w:styleId="ListParagraph">
    <w:name w:val="List Paragraph"/>
    <w:basedOn w:val="Normal"/>
    <w:uiPriority w:val="34"/>
    <w:qFormat/>
    <w:rsid w:val="00F57357"/>
    <w:pPr>
      <w:ind w:left="720"/>
      <w:contextualSpacing/>
    </w:pPr>
  </w:style>
  <w:style w:type="character" w:styleId="Strong">
    <w:name w:val="Strong"/>
    <w:basedOn w:val="DefaultParagraphFont"/>
    <w:uiPriority w:val="22"/>
    <w:qFormat/>
    <w:rsid w:val="00562F04"/>
    <w:rPr>
      <w:b/>
      <w:bCs/>
    </w:rPr>
  </w:style>
  <w:style w:type="character" w:customStyle="1" w:styleId="apple-converted-space">
    <w:name w:val="apple-converted-space"/>
    <w:basedOn w:val="DefaultParagraphFont"/>
    <w:rsid w:val="00C16D06"/>
  </w:style>
  <w:style w:type="paragraph" w:styleId="Footer">
    <w:name w:val="footer"/>
    <w:basedOn w:val="Normal"/>
    <w:link w:val="FooterChar"/>
    <w:uiPriority w:val="99"/>
    <w:unhideWhenUsed/>
    <w:rsid w:val="00E82E0F"/>
    <w:pPr>
      <w:tabs>
        <w:tab w:val="center" w:pos="4680"/>
        <w:tab w:val="right" w:pos="9360"/>
      </w:tabs>
    </w:pPr>
  </w:style>
  <w:style w:type="character" w:customStyle="1" w:styleId="FooterChar">
    <w:name w:val="Footer Char"/>
    <w:basedOn w:val="DefaultParagraphFont"/>
    <w:link w:val="Footer"/>
    <w:uiPriority w:val="99"/>
    <w:rsid w:val="00E82E0F"/>
  </w:style>
  <w:style w:type="character" w:styleId="PageNumber">
    <w:name w:val="page number"/>
    <w:basedOn w:val="DefaultParagraphFont"/>
    <w:uiPriority w:val="99"/>
    <w:semiHidden/>
    <w:unhideWhenUsed/>
    <w:rsid w:val="00E8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9953">
      <w:bodyDiv w:val="1"/>
      <w:marLeft w:val="0"/>
      <w:marRight w:val="0"/>
      <w:marTop w:val="0"/>
      <w:marBottom w:val="0"/>
      <w:divBdr>
        <w:top w:val="none" w:sz="0" w:space="0" w:color="auto"/>
        <w:left w:val="none" w:sz="0" w:space="0" w:color="auto"/>
        <w:bottom w:val="none" w:sz="0" w:space="0" w:color="auto"/>
        <w:right w:val="none" w:sz="0" w:space="0" w:color="auto"/>
      </w:divBdr>
    </w:div>
    <w:div w:id="1682974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qkK4pApcwMc" TargetMode="External"/><Relationship Id="rId12" Type="http://schemas.openxmlformats.org/officeDocument/2006/relationships/hyperlink" Target="http://www.ottomanhistorypodcast.com/2014/10/saharan-jews-french-algeria-sarah-stein.html"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seikaly@history.ucsb.edu" TargetMode="External"/><Relationship Id="rId9" Type="http://schemas.openxmlformats.org/officeDocument/2006/relationships/hyperlink" Target="http://www.sa.ucsb.edu/Regulations/student_conduct.aspx" TargetMode="External"/><Relationship Id="rId10" Type="http://schemas.openxmlformats.org/officeDocument/2006/relationships/hyperlink" Target="http://policy.ucop.edu/doc/2710530/PACAOS-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1846</Words>
  <Characters>10526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Sherene Seikaly</dc:creator>
  <cp:keywords/>
  <dc:description/>
  <cp:lastModifiedBy>Sherene Seikaly</cp:lastModifiedBy>
  <cp:revision>6</cp:revision>
  <cp:lastPrinted>2016-01-04T17:08:00Z</cp:lastPrinted>
  <dcterms:created xsi:type="dcterms:W3CDTF">2015-12-30T03:32:00Z</dcterms:created>
  <dcterms:modified xsi:type="dcterms:W3CDTF">2016-01-04T18:52:00Z</dcterms:modified>
</cp:coreProperties>
</file>