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D14">
      <w:pPr>
        <w:ind w:right="18"/>
        <w:jc w:val="center"/>
        <w:rPr>
          <w:b/>
          <w:sz w:val="20"/>
        </w:rPr>
      </w:pPr>
      <w:bookmarkStart w:id="0" w:name="_GoBack"/>
      <w:bookmarkEnd w:id="0"/>
      <w:r>
        <w:rPr>
          <w:b/>
          <w:sz w:val="20"/>
        </w:rPr>
        <w:t>Sample Endnotes and Bibliography</w:t>
      </w:r>
    </w:p>
    <w:p w:rsidR="00000000" w:rsidRDefault="009B2D14">
      <w:pPr>
        <w:ind w:right="18"/>
        <w:rPr>
          <w:sz w:val="20"/>
        </w:rPr>
      </w:pPr>
    </w:p>
    <w:p w:rsidR="00000000" w:rsidRDefault="009B2D14">
      <w:pPr>
        <w:ind w:right="18"/>
        <w:rPr>
          <w:sz w:val="20"/>
        </w:rPr>
      </w:pPr>
      <w:r>
        <w:rPr>
          <w:sz w:val="20"/>
        </w:rPr>
        <w:t>Please put your notes on separate pages following the body of your manuscript.  Follow that with a list bibliography of all the sources you used.  The  examples below include most of the types of sources you will need to r</w:t>
      </w:r>
      <w:r>
        <w:rPr>
          <w:sz w:val="20"/>
        </w:rPr>
        <w:t xml:space="preserve">ecord in your endnotes and bibliography.  They are taken, with some minor revisions and by permission, from </w:t>
      </w:r>
      <w:r>
        <w:rPr>
          <w:sz w:val="20"/>
          <w:u w:val="single"/>
        </w:rPr>
        <w:t>The Chicago Manual of Style</w:t>
      </w:r>
      <w:r>
        <w:rPr>
          <w:sz w:val="20"/>
        </w:rPr>
        <w:t>, 13th ed. (Chicago:  University of Chicago Press, 1982).  In writing endnotes, there are several important consideration</w:t>
      </w:r>
      <w:r>
        <w:rPr>
          <w:sz w:val="20"/>
        </w:rPr>
        <w:t>s to remember:</w:t>
      </w:r>
    </w:p>
    <w:p w:rsidR="00000000" w:rsidRDefault="009B2D14">
      <w:pPr>
        <w:ind w:left="360" w:right="18"/>
        <w:rPr>
          <w:sz w:val="20"/>
        </w:rPr>
      </w:pPr>
    </w:p>
    <w:p w:rsidR="00000000" w:rsidRDefault="009B2D14">
      <w:pPr>
        <w:ind w:left="720" w:right="18" w:hanging="360"/>
        <w:rPr>
          <w:sz w:val="20"/>
        </w:rPr>
      </w:pPr>
      <w:r>
        <w:rPr>
          <w:sz w:val="20"/>
        </w:rPr>
        <w:t>1.</w:t>
      </w:r>
      <w:r>
        <w:rPr>
          <w:sz w:val="20"/>
        </w:rPr>
        <w:tab/>
        <w:t>You must have a note for every quotation, and for every important statement of fact.  It is almost always better to err on the side of too many notes rather than too few.</w:t>
      </w:r>
    </w:p>
    <w:p w:rsidR="00000000" w:rsidRDefault="009B2D14">
      <w:pPr>
        <w:ind w:left="720" w:right="18" w:hanging="360"/>
        <w:rPr>
          <w:sz w:val="20"/>
        </w:rPr>
      </w:pPr>
    </w:p>
    <w:p w:rsidR="00000000" w:rsidRDefault="009B2D14">
      <w:pPr>
        <w:ind w:left="720" w:right="18" w:hanging="360"/>
        <w:rPr>
          <w:sz w:val="20"/>
        </w:rPr>
      </w:pPr>
      <w:r>
        <w:rPr>
          <w:sz w:val="20"/>
        </w:rPr>
        <w:t>2.</w:t>
      </w:r>
      <w:r>
        <w:rPr>
          <w:sz w:val="20"/>
        </w:rPr>
        <w:tab/>
        <w:t>The note is not a substitute for making your point clear in th</w:t>
      </w:r>
      <w:r>
        <w:rPr>
          <w:sz w:val="20"/>
        </w:rPr>
        <w:t>e body of the text.  Don't just refer your reader to an article that supports the point you are trying to make.  Make the point, and make clear how the evidence that exists (and that may be reported in the article) supports your point.  Then give the refer</w:t>
      </w:r>
      <w:r>
        <w:rPr>
          <w:sz w:val="20"/>
        </w:rPr>
        <w:t>ence in an endnote.</w:t>
      </w:r>
    </w:p>
    <w:p w:rsidR="00000000" w:rsidRDefault="009B2D14">
      <w:pPr>
        <w:ind w:left="360" w:right="18"/>
        <w:rPr>
          <w:sz w:val="20"/>
        </w:rPr>
      </w:pPr>
    </w:p>
    <w:p w:rsidR="00000000" w:rsidRDefault="009B2D14">
      <w:pPr>
        <w:ind w:left="720" w:right="18" w:hanging="360"/>
        <w:rPr>
          <w:sz w:val="20"/>
        </w:rPr>
      </w:pPr>
      <w:r>
        <w:rPr>
          <w:sz w:val="20"/>
        </w:rPr>
        <w:t>3.</w:t>
      </w:r>
      <w:r>
        <w:rPr>
          <w:sz w:val="20"/>
        </w:rPr>
        <w:tab/>
        <w:t>Number all the notes in a chapter in succession.  Do not use asterisks (*) or other symbols.</w:t>
      </w:r>
    </w:p>
    <w:p w:rsidR="00000000" w:rsidRDefault="009B2D14">
      <w:pPr>
        <w:ind w:left="360" w:right="18"/>
        <w:rPr>
          <w:sz w:val="20"/>
        </w:rPr>
      </w:pPr>
    </w:p>
    <w:p w:rsidR="00000000" w:rsidRDefault="009B2D14">
      <w:pPr>
        <w:ind w:left="720" w:right="18" w:hanging="360"/>
        <w:rPr>
          <w:sz w:val="20"/>
        </w:rPr>
      </w:pPr>
      <w:r>
        <w:rPr>
          <w:sz w:val="20"/>
        </w:rPr>
        <w:t>4.</w:t>
      </w:r>
      <w:r>
        <w:rPr>
          <w:sz w:val="20"/>
        </w:rPr>
        <w:tab/>
        <w:t>Be complete in the first note to a particular source.</w:t>
      </w:r>
    </w:p>
    <w:p w:rsidR="00000000" w:rsidRDefault="009B2D14">
      <w:pPr>
        <w:ind w:left="720" w:right="18" w:hanging="360"/>
        <w:rPr>
          <w:sz w:val="20"/>
        </w:rPr>
      </w:pPr>
    </w:p>
    <w:p w:rsidR="00000000" w:rsidRDefault="009B2D14">
      <w:pPr>
        <w:ind w:left="720" w:right="18" w:hanging="360"/>
        <w:rPr>
          <w:sz w:val="20"/>
        </w:rPr>
      </w:pPr>
      <w:r>
        <w:rPr>
          <w:sz w:val="20"/>
        </w:rPr>
        <w:t>5.</w:t>
      </w:r>
      <w:r>
        <w:rPr>
          <w:sz w:val="20"/>
        </w:rPr>
        <w:tab/>
        <w:t>Give enough information in later notes to the same source so that your reader</w:t>
      </w:r>
      <w:r>
        <w:rPr>
          <w:sz w:val="20"/>
        </w:rPr>
        <w:t xml:space="preserve"> can easily tell to which item you are referring.</w:t>
      </w:r>
    </w:p>
    <w:p w:rsidR="00000000" w:rsidRDefault="009B2D14">
      <w:pPr>
        <w:ind w:left="720" w:right="18" w:hanging="360"/>
        <w:rPr>
          <w:sz w:val="20"/>
        </w:rPr>
      </w:pPr>
    </w:p>
    <w:p w:rsidR="00000000" w:rsidRDefault="009B2D14">
      <w:pPr>
        <w:ind w:left="720" w:right="18" w:hanging="360"/>
        <w:rPr>
          <w:sz w:val="20"/>
        </w:rPr>
      </w:pPr>
      <w:r>
        <w:rPr>
          <w:sz w:val="20"/>
        </w:rPr>
        <w:t>6.</w:t>
      </w:r>
      <w:r>
        <w:rPr>
          <w:sz w:val="20"/>
        </w:rPr>
        <w:tab/>
        <w:t>Your goal is not to defend yourself against critics.  It is to help your reader find out more about the subject should she be interested in doing so.  It is kind to your reader to help her save steps by</w:t>
      </w:r>
      <w:r>
        <w:rPr>
          <w:sz w:val="20"/>
        </w:rPr>
        <w:t xml:space="preserve"> being as informative as possible.</w:t>
      </w:r>
    </w:p>
    <w:p w:rsidR="00000000" w:rsidRDefault="009B2D14">
      <w:pPr>
        <w:ind w:left="720" w:right="18" w:hanging="360"/>
        <w:rPr>
          <w:sz w:val="20"/>
        </w:rPr>
      </w:pPr>
    </w:p>
    <w:p w:rsidR="00000000" w:rsidRDefault="009B2D14">
      <w:pPr>
        <w:ind w:left="720" w:right="18" w:hanging="360"/>
        <w:rPr>
          <w:sz w:val="20"/>
        </w:rPr>
      </w:pPr>
      <w:r>
        <w:rPr>
          <w:sz w:val="20"/>
        </w:rPr>
        <w:t>7.</w:t>
      </w:r>
      <w:r>
        <w:rPr>
          <w:sz w:val="20"/>
        </w:rPr>
        <w:tab/>
        <w:t>Endnotes are also places where you can make parenthetical comments that will inform the diligent reader, but that are not absolutely essential to your argument.  Exercise restraint, however--notes are not places for m</w:t>
      </w:r>
      <w:r>
        <w:rPr>
          <w:sz w:val="20"/>
        </w:rPr>
        <w:t>ini-essays on esoterica.</w:t>
      </w:r>
    </w:p>
    <w:p w:rsidR="00000000" w:rsidRDefault="009B2D14">
      <w:pPr>
        <w:ind w:left="720" w:right="18" w:hanging="360"/>
        <w:rPr>
          <w:sz w:val="20"/>
        </w:rPr>
      </w:pPr>
    </w:p>
    <w:p w:rsidR="00000000" w:rsidRDefault="009B2D14">
      <w:pPr>
        <w:ind w:right="18"/>
        <w:rPr>
          <w:sz w:val="20"/>
        </w:rPr>
      </w:pPr>
      <w:r>
        <w:rPr>
          <w:sz w:val="20"/>
        </w:rPr>
        <w:t xml:space="preserve">Note:  The </w:t>
      </w:r>
      <w:r>
        <w:rPr>
          <w:b/>
          <w:sz w:val="20"/>
        </w:rPr>
        <w:t>N</w:t>
      </w:r>
      <w:r>
        <w:rPr>
          <w:sz w:val="20"/>
        </w:rPr>
        <w:t xml:space="preserve"> form below is the form to follow in constructing endnotes and footnotes.  The </w:t>
      </w:r>
      <w:r>
        <w:rPr>
          <w:b/>
          <w:sz w:val="20"/>
        </w:rPr>
        <w:t>B</w:t>
      </w:r>
      <w:r>
        <w:rPr>
          <w:sz w:val="20"/>
        </w:rPr>
        <w:t xml:space="preserve"> form is for bibliography entries.</w:t>
      </w:r>
    </w:p>
    <w:p w:rsidR="00000000" w:rsidRDefault="009B2D14">
      <w:pPr>
        <w:ind w:right="18"/>
        <w:rPr>
          <w:sz w:val="20"/>
        </w:rPr>
      </w:pPr>
    </w:p>
    <w:p w:rsidR="00000000" w:rsidRDefault="009B2D14">
      <w:pPr>
        <w:tabs>
          <w:tab w:val="left" w:pos="720"/>
          <w:tab w:val="left" w:pos="1080"/>
        </w:tabs>
        <w:ind w:right="18"/>
        <w:rPr>
          <w:b/>
          <w:sz w:val="20"/>
        </w:rPr>
      </w:pPr>
      <w:r>
        <w:rPr>
          <w:b/>
          <w:sz w:val="20"/>
        </w:rPr>
        <w:t>Book--single author</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w:t>
      </w:r>
      <w:r>
        <w:rPr>
          <w:sz w:val="20"/>
        </w:rPr>
        <w:t xml:space="preserve">John Hope Franklin, </w:t>
      </w:r>
      <w:r>
        <w:rPr>
          <w:sz w:val="20"/>
          <w:u w:val="single"/>
        </w:rPr>
        <w:t>George Washington Williams:  A Biography</w:t>
      </w:r>
      <w:r>
        <w:rPr>
          <w:sz w:val="20"/>
        </w:rPr>
        <w:t xml:space="preserve">  (Chicago: Unive</w:t>
      </w:r>
      <w:r>
        <w:rPr>
          <w:sz w:val="20"/>
        </w:rPr>
        <w:t>rsity of</w:t>
      </w:r>
    </w:p>
    <w:p w:rsidR="00000000" w:rsidRDefault="009B2D14">
      <w:pPr>
        <w:tabs>
          <w:tab w:val="left" w:pos="720"/>
          <w:tab w:val="left" w:pos="1080"/>
        </w:tabs>
        <w:ind w:right="18"/>
        <w:rPr>
          <w:sz w:val="20"/>
        </w:rPr>
      </w:pPr>
      <w:r>
        <w:rPr>
          <w:sz w:val="20"/>
        </w:rPr>
        <w:tab/>
        <w:t>Chicago Press, 1985), 54.</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B</w:t>
      </w:r>
      <w:r>
        <w:rPr>
          <w:sz w:val="20"/>
        </w:rPr>
        <w:tab/>
        <w:t xml:space="preserve">Franklin, John Hope.  </w:t>
      </w:r>
      <w:r>
        <w:rPr>
          <w:sz w:val="20"/>
          <w:u w:val="single"/>
        </w:rPr>
        <w:t>George Washington Williams:  A Biography</w:t>
      </w:r>
      <w:r>
        <w:rPr>
          <w:sz w:val="20"/>
        </w:rPr>
        <w:t>.  Chicago:  University of</w:t>
      </w:r>
    </w:p>
    <w:p w:rsidR="00000000" w:rsidRDefault="009B2D14">
      <w:pPr>
        <w:tabs>
          <w:tab w:val="left" w:pos="720"/>
          <w:tab w:val="left" w:pos="1080"/>
        </w:tabs>
        <w:ind w:right="18"/>
        <w:rPr>
          <w:sz w:val="20"/>
        </w:rPr>
      </w:pPr>
      <w:r>
        <w:rPr>
          <w:sz w:val="20"/>
        </w:rPr>
        <w:tab/>
      </w:r>
      <w:r>
        <w:rPr>
          <w:sz w:val="20"/>
        </w:rPr>
        <w:tab/>
        <w:t>Chicago Press, 1985.</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Book--two authors</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b/>
          <w:sz w:val="20"/>
        </w:rPr>
        <w:tab/>
      </w:r>
      <w:r>
        <w:rPr>
          <w:b/>
          <w:sz w:val="20"/>
        </w:rPr>
        <w:tab/>
      </w:r>
      <w:r>
        <w:rPr>
          <w:position w:val="6"/>
          <w:sz w:val="20"/>
        </w:rPr>
        <w:t>2</w:t>
      </w:r>
      <w:r>
        <w:rPr>
          <w:sz w:val="20"/>
        </w:rPr>
        <w:t xml:space="preserve">Brian W. Kernighan and Dennis M. Ritchie, </w:t>
      </w:r>
      <w:r>
        <w:rPr>
          <w:sz w:val="20"/>
          <w:u w:val="single"/>
        </w:rPr>
        <w:t>The C Programming Language</w:t>
      </w:r>
      <w:r>
        <w:rPr>
          <w:sz w:val="20"/>
        </w:rPr>
        <w:t xml:space="preserve"> (Englewood</w:t>
      </w:r>
    </w:p>
    <w:p w:rsidR="00000000" w:rsidRDefault="009B2D14">
      <w:pPr>
        <w:tabs>
          <w:tab w:val="left" w:pos="720"/>
          <w:tab w:val="left" w:pos="1080"/>
        </w:tabs>
        <w:ind w:right="18"/>
        <w:rPr>
          <w:sz w:val="20"/>
        </w:rPr>
      </w:pPr>
      <w:r>
        <w:rPr>
          <w:sz w:val="20"/>
        </w:rPr>
        <w:tab/>
      </w:r>
      <w:r>
        <w:rPr>
          <w:sz w:val="20"/>
        </w:rPr>
        <w:t>Cliffs, N.J.:  Prentice-Hall, 1978), 185.</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B</w:t>
      </w:r>
      <w:r>
        <w:rPr>
          <w:b/>
          <w:sz w:val="20"/>
        </w:rPr>
        <w:tab/>
      </w:r>
      <w:r>
        <w:rPr>
          <w:sz w:val="20"/>
        </w:rPr>
        <w:t xml:space="preserve">Kernighan, Brian W., and Dennis M. Ritchie.  </w:t>
      </w:r>
      <w:r>
        <w:rPr>
          <w:sz w:val="20"/>
          <w:u w:val="single"/>
        </w:rPr>
        <w:t>The C Programming Language</w:t>
      </w:r>
      <w:r>
        <w:rPr>
          <w:sz w:val="20"/>
        </w:rPr>
        <w:t>.  Englewood</w:t>
      </w:r>
    </w:p>
    <w:p w:rsidR="00000000" w:rsidRDefault="009B2D14">
      <w:pPr>
        <w:tabs>
          <w:tab w:val="left" w:pos="720"/>
          <w:tab w:val="left" w:pos="1080"/>
        </w:tabs>
        <w:ind w:right="18"/>
        <w:rPr>
          <w:sz w:val="20"/>
        </w:rPr>
      </w:pPr>
      <w:r>
        <w:rPr>
          <w:sz w:val="20"/>
        </w:rPr>
        <w:tab/>
      </w:r>
      <w:r>
        <w:rPr>
          <w:sz w:val="20"/>
        </w:rPr>
        <w:tab/>
        <w:t>Cliffs, N.J.:  Prentice-Hall, 1978.</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Book--three authors</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b/>
          <w:sz w:val="20"/>
        </w:rPr>
        <w:tab/>
      </w:r>
      <w:r>
        <w:rPr>
          <w:b/>
          <w:sz w:val="20"/>
        </w:rPr>
        <w:tab/>
      </w:r>
      <w:r>
        <w:rPr>
          <w:position w:val="6"/>
          <w:sz w:val="20"/>
        </w:rPr>
        <w:t>3</w:t>
      </w:r>
      <w:r>
        <w:rPr>
          <w:sz w:val="20"/>
        </w:rPr>
        <w:t xml:space="preserve">Mary Lyon, Bryce Lyon, and Henry S. Lucas, </w:t>
      </w:r>
      <w:r>
        <w:rPr>
          <w:sz w:val="20"/>
          <w:u w:val="single"/>
        </w:rPr>
        <w:t>The Wardrobe Book of</w:t>
      </w:r>
      <w:r>
        <w:rPr>
          <w:sz w:val="20"/>
          <w:u w:val="single"/>
        </w:rPr>
        <w:t xml:space="preserve"> William de</w:t>
      </w:r>
    </w:p>
    <w:p w:rsidR="00000000" w:rsidRDefault="009B2D14">
      <w:pPr>
        <w:tabs>
          <w:tab w:val="left" w:pos="720"/>
          <w:tab w:val="left" w:pos="1080"/>
        </w:tabs>
        <w:ind w:right="18"/>
        <w:rPr>
          <w:sz w:val="20"/>
        </w:rPr>
      </w:pPr>
      <w:r>
        <w:rPr>
          <w:sz w:val="20"/>
        </w:rPr>
        <w:tab/>
      </w:r>
      <w:r>
        <w:rPr>
          <w:sz w:val="20"/>
          <w:u w:val="single"/>
        </w:rPr>
        <w:t>Norwell, 12 July 1338 to 27 May 1340</w:t>
      </w:r>
      <w:r>
        <w:rPr>
          <w:sz w:val="20"/>
        </w:rPr>
        <w:t>, with the collaboration of Jean de Sturler</w:t>
      </w:r>
    </w:p>
    <w:p w:rsidR="00000000" w:rsidRDefault="009B2D14">
      <w:pPr>
        <w:tabs>
          <w:tab w:val="left" w:pos="720"/>
          <w:tab w:val="left" w:pos="1080"/>
        </w:tabs>
        <w:ind w:right="18"/>
        <w:rPr>
          <w:sz w:val="20"/>
        </w:rPr>
      </w:pPr>
      <w:r>
        <w:rPr>
          <w:sz w:val="20"/>
        </w:rPr>
        <w:tab/>
        <w:t>(Brussels:  Commission Royale d'Histoire de Belgique, 1983), 42.</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u w:val="single"/>
        </w:rPr>
      </w:pPr>
      <w:r>
        <w:rPr>
          <w:b/>
          <w:sz w:val="20"/>
        </w:rPr>
        <w:t>B</w:t>
      </w:r>
      <w:r>
        <w:rPr>
          <w:sz w:val="20"/>
        </w:rPr>
        <w:tab/>
        <w:t xml:space="preserve">Lyon, Mary, Bryce Lyon, and Henry S. Lucas.  </w:t>
      </w:r>
      <w:r>
        <w:rPr>
          <w:sz w:val="20"/>
          <w:u w:val="single"/>
        </w:rPr>
        <w:t>The Wardrobe Book of William de</w:t>
      </w:r>
    </w:p>
    <w:p w:rsidR="00000000" w:rsidRDefault="009B2D14">
      <w:pPr>
        <w:tabs>
          <w:tab w:val="left" w:pos="720"/>
          <w:tab w:val="left" w:pos="1080"/>
        </w:tabs>
        <w:ind w:right="18"/>
        <w:rPr>
          <w:sz w:val="20"/>
        </w:rPr>
      </w:pPr>
      <w:r>
        <w:rPr>
          <w:sz w:val="20"/>
        </w:rPr>
        <w:tab/>
      </w:r>
      <w:r>
        <w:rPr>
          <w:sz w:val="20"/>
        </w:rPr>
        <w:tab/>
      </w:r>
      <w:r>
        <w:rPr>
          <w:sz w:val="20"/>
          <w:u w:val="single"/>
        </w:rPr>
        <w:t>Norwell, 12 Jul</w:t>
      </w:r>
      <w:r>
        <w:rPr>
          <w:sz w:val="20"/>
          <w:u w:val="single"/>
        </w:rPr>
        <w:t>y 1338 to 27 May 1340</w:t>
      </w:r>
      <w:r>
        <w:rPr>
          <w:sz w:val="20"/>
        </w:rPr>
        <w:t>.  With the collaboration of Jean de Sturler.</w:t>
      </w:r>
    </w:p>
    <w:p w:rsidR="00000000" w:rsidRDefault="009B2D14">
      <w:pPr>
        <w:tabs>
          <w:tab w:val="left" w:pos="720"/>
          <w:tab w:val="left" w:pos="1080"/>
        </w:tabs>
        <w:ind w:right="18"/>
        <w:rPr>
          <w:sz w:val="20"/>
        </w:rPr>
      </w:pPr>
      <w:r>
        <w:rPr>
          <w:sz w:val="20"/>
        </w:rPr>
        <w:tab/>
      </w:r>
      <w:r>
        <w:rPr>
          <w:sz w:val="20"/>
        </w:rPr>
        <w:tab/>
        <w:t>Brussels:  Commission Royale d'Histoire de Belgique, 1983.</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Book--more than three authors</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u w:val="single"/>
        </w:rPr>
      </w:pPr>
      <w:r>
        <w:rPr>
          <w:b/>
          <w:sz w:val="20"/>
        </w:rPr>
        <w:t>N</w:t>
      </w:r>
      <w:r>
        <w:rPr>
          <w:b/>
          <w:sz w:val="20"/>
        </w:rPr>
        <w:tab/>
      </w:r>
      <w:r>
        <w:rPr>
          <w:b/>
          <w:sz w:val="20"/>
        </w:rPr>
        <w:tab/>
      </w:r>
      <w:r>
        <w:rPr>
          <w:position w:val="6"/>
          <w:sz w:val="20"/>
        </w:rPr>
        <w:t>4</w:t>
      </w:r>
      <w:r>
        <w:rPr>
          <w:sz w:val="20"/>
        </w:rPr>
        <w:t xml:space="preserve">Martin Greenberger, and others, eds., </w:t>
      </w:r>
      <w:r>
        <w:rPr>
          <w:sz w:val="20"/>
          <w:u w:val="single"/>
        </w:rPr>
        <w:t>Networks for Research and Education:</w:t>
      </w:r>
    </w:p>
    <w:p w:rsidR="00000000" w:rsidRDefault="009B2D14">
      <w:pPr>
        <w:tabs>
          <w:tab w:val="left" w:pos="720"/>
          <w:tab w:val="left" w:pos="1080"/>
        </w:tabs>
        <w:ind w:right="18"/>
        <w:rPr>
          <w:sz w:val="20"/>
        </w:rPr>
      </w:pPr>
      <w:r>
        <w:rPr>
          <w:sz w:val="20"/>
        </w:rPr>
        <w:tab/>
      </w:r>
      <w:r>
        <w:rPr>
          <w:sz w:val="20"/>
          <w:u w:val="single"/>
        </w:rPr>
        <w:t>Sharing of Compu</w:t>
      </w:r>
      <w:r>
        <w:rPr>
          <w:sz w:val="20"/>
          <w:u w:val="single"/>
        </w:rPr>
        <w:t>ter and Information Resources Nationwide</w:t>
      </w:r>
      <w:r>
        <w:rPr>
          <w:sz w:val="20"/>
        </w:rPr>
        <w:t xml:space="preserve"> (Cambridge, Mass.:  MIT</w:t>
      </w:r>
    </w:p>
    <w:p w:rsidR="00000000" w:rsidRDefault="009B2D14">
      <w:pPr>
        <w:tabs>
          <w:tab w:val="left" w:pos="720"/>
          <w:tab w:val="left" w:pos="1080"/>
        </w:tabs>
        <w:ind w:right="18"/>
        <w:rPr>
          <w:sz w:val="20"/>
        </w:rPr>
      </w:pPr>
      <w:r>
        <w:rPr>
          <w:sz w:val="20"/>
        </w:rPr>
        <w:tab/>
        <w:t>Press, 1974), 50.</w:t>
      </w:r>
    </w:p>
    <w:p w:rsidR="00000000" w:rsidRDefault="009B2D14">
      <w:pPr>
        <w:tabs>
          <w:tab w:val="left" w:pos="720"/>
          <w:tab w:val="left" w:pos="1080"/>
        </w:tabs>
        <w:ind w:right="18"/>
        <w:rPr>
          <w:sz w:val="20"/>
          <w:u w:val="single"/>
        </w:rPr>
      </w:pPr>
      <w:r>
        <w:rPr>
          <w:sz w:val="20"/>
          <w:u w:val="single"/>
        </w:rPr>
        <w:t>or</w:t>
      </w:r>
    </w:p>
    <w:p w:rsidR="00000000" w:rsidRDefault="009B2D14">
      <w:pPr>
        <w:tabs>
          <w:tab w:val="left" w:pos="720"/>
          <w:tab w:val="left" w:pos="1080"/>
        </w:tabs>
        <w:ind w:right="18"/>
        <w:rPr>
          <w:sz w:val="20"/>
        </w:rPr>
      </w:pPr>
      <w:r>
        <w:rPr>
          <w:sz w:val="20"/>
        </w:rPr>
        <w:tab/>
      </w:r>
      <w:r>
        <w:rPr>
          <w:sz w:val="20"/>
        </w:rPr>
        <w:tab/>
      </w:r>
      <w:r>
        <w:rPr>
          <w:position w:val="6"/>
          <w:sz w:val="20"/>
        </w:rPr>
        <w:t>4</w:t>
      </w:r>
      <w:r>
        <w:rPr>
          <w:sz w:val="20"/>
        </w:rPr>
        <w:t xml:space="preserve">Martin Greenberger, </w:t>
      </w:r>
      <w:r>
        <w:rPr>
          <w:sz w:val="20"/>
          <w:u w:val="single"/>
        </w:rPr>
        <w:t>et al</w:t>
      </w:r>
      <w:r>
        <w:rPr>
          <w:sz w:val="20"/>
        </w:rPr>
        <w:t xml:space="preserve">., eds., </w:t>
      </w:r>
      <w:r>
        <w:rPr>
          <w:sz w:val="20"/>
          <w:u w:val="single"/>
        </w:rPr>
        <w:t>Networks for Research and Education:  Sharing of</w:t>
      </w:r>
    </w:p>
    <w:p w:rsidR="00000000" w:rsidRDefault="009B2D14">
      <w:pPr>
        <w:tabs>
          <w:tab w:val="left" w:pos="720"/>
          <w:tab w:val="left" w:pos="1080"/>
        </w:tabs>
        <w:ind w:right="18"/>
        <w:rPr>
          <w:sz w:val="20"/>
        </w:rPr>
      </w:pPr>
      <w:r>
        <w:rPr>
          <w:sz w:val="20"/>
        </w:rPr>
        <w:tab/>
      </w:r>
      <w:r>
        <w:rPr>
          <w:sz w:val="20"/>
          <w:u w:val="single"/>
        </w:rPr>
        <w:t>Computer and Information Resources Nationwide</w:t>
      </w:r>
      <w:r>
        <w:rPr>
          <w:sz w:val="20"/>
        </w:rPr>
        <w:t xml:space="preserve"> (Cambridge, Mass.:  MIT Press,</w:t>
      </w:r>
    </w:p>
    <w:p w:rsidR="00000000" w:rsidRDefault="009B2D14">
      <w:pPr>
        <w:tabs>
          <w:tab w:val="left" w:pos="720"/>
          <w:tab w:val="left" w:pos="1080"/>
        </w:tabs>
        <w:ind w:right="18"/>
        <w:rPr>
          <w:sz w:val="20"/>
        </w:rPr>
      </w:pPr>
      <w:r>
        <w:rPr>
          <w:sz w:val="20"/>
        </w:rPr>
        <w:tab/>
        <w:t>1974</w:t>
      </w:r>
      <w:r>
        <w:rPr>
          <w:sz w:val="20"/>
        </w:rPr>
        <w:t>), 50.</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B</w:t>
      </w:r>
      <w:r>
        <w:rPr>
          <w:sz w:val="20"/>
        </w:rPr>
        <w:tab/>
        <w:t>Greenberger, Martin, Julius Aronofsky, James L. McKenney, and William F. Massy, eds.</w:t>
      </w:r>
    </w:p>
    <w:p w:rsidR="00000000" w:rsidRDefault="009B2D14">
      <w:pPr>
        <w:tabs>
          <w:tab w:val="left" w:pos="720"/>
          <w:tab w:val="left" w:pos="1080"/>
        </w:tabs>
        <w:ind w:right="18"/>
        <w:rPr>
          <w:sz w:val="20"/>
          <w:u w:val="single"/>
        </w:rPr>
      </w:pPr>
      <w:r>
        <w:rPr>
          <w:sz w:val="20"/>
        </w:rPr>
        <w:tab/>
      </w:r>
      <w:r>
        <w:rPr>
          <w:sz w:val="20"/>
        </w:rPr>
        <w:tab/>
      </w:r>
      <w:r>
        <w:rPr>
          <w:sz w:val="20"/>
          <w:u w:val="single"/>
        </w:rPr>
        <w:t>Networks for Research and Education:  Sharing of Computer and Information</w:t>
      </w:r>
    </w:p>
    <w:p w:rsidR="00000000" w:rsidRDefault="009B2D14">
      <w:pPr>
        <w:tabs>
          <w:tab w:val="left" w:pos="720"/>
          <w:tab w:val="left" w:pos="1080"/>
        </w:tabs>
        <w:ind w:right="18"/>
        <w:rPr>
          <w:sz w:val="20"/>
        </w:rPr>
      </w:pPr>
      <w:r>
        <w:rPr>
          <w:sz w:val="20"/>
        </w:rPr>
        <w:tab/>
      </w:r>
      <w:r>
        <w:rPr>
          <w:sz w:val="20"/>
        </w:rPr>
        <w:tab/>
      </w:r>
      <w:r>
        <w:rPr>
          <w:sz w:val="20"/>
          <w:u w:val="single"/>
        </w:rPr>
        <w:t>Resources Nationwide</w:t>
      </w:r>
      <w:r>
        <w:rPr>
          <w:sz w:val="20"/>
        </w:rPr>
        <w:t>.  Cambridge, Mass.:  MIT Press, 1974.</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Book--no author given</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5</w:t>
      </w:r>
      <w:r>
        <w:rPr>
          <w:sz w:val="20"/>
          <w:u w:val="single"/>
        </w:rPr>
        <w:t>The Lottery</w:t>
      </w:r>
      <w:r>
        <w:rPr>
          <w:sz w:val="20"/>
        </w:rPr>
        <w:t xml:space="preserve"> (London:  J. Watts [1732]), 20-25.</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B</w:t>
      </w:r>
      <w:r>
        <w:rPr>
          <w:b/>
          <w:sz w:val="20"/>
        </w:rPr>
        <w:tab/>
      </w:r>
      <w:r>
        <w:rPr>
          <w:sz w:val="20"/>
          <w:u w:val="single"/>
        </w:rPr>
        <w:t>The Lottery</w:t>
      </w:r>
      <w:r>
        <w:rPr>
          <w:sz w:val="20"/>
        </w:rPr>
        <w:t>.  London:  J. Watts, [1732].</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Note:  in this example, the brackets [] surround the date of publication because, although the date is known, it is not printed on the book.  In similar fashion</w:t>
      </w:r>
      <w:r>
        <w:rPr>
          <w:sz w:val="20"/>
        </w:rPr>
        <w:t>, you might encounter a book whose author you know, but on which that author's name does not appear.  In that case, you are free to use the normal format with the author's name first, but in brackets.</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Book--translated or edited by another</w:t>
      </w:r>
    </w:p>
    <w:p w:rsidR="00000000" w:rsidRDefault="009B2D14">
      <w:pPr>
        <w:tabs>
          <w:tab w:val="left" w:pos="720"/>
          <w:tab w:val="left" w:pos="1080"/>
        </w:tabs>
        <w:ind w:right="18"/>
        <w:rPr>
          <w:b/>
          <w:sz w:val="20"/>
        </w:rPr>
      </w:pPr>
    </w:p>
    <w:p w:rsidR="00000000" w:rsidRDefault="009B2D14">
      <w:pPr>
        <w:tabs>
          <w:tab w:val="left" w:pos="720"/>
          <w:tab w:val="left" w:pos="1080"/>
        </w:tabs>
        <w:ind w:right="18"/>
        <w:rPr>
          <w:b/>
          <w:sz w:val="20"/>
        </w:rPr>
      </w:pPr>
      <w:r>
        <w:rPr>
          <w:b/>
          <w:sz w:val="20"/>
        </w:rPr>
        <w:t>N</w:t>
      </w:r>
      <w:r>
        <w:rPr>
          <w:sz w:val="20"/>
        </w:rPr>
        <w:tab/>
      </w:r>
      <w:r>
        <w:rPr>
          <w:sz w:val="20"/>
        </w:rPr>
        <w:tab/>
      </w:r>
      <w:r>
        <w:rPr>
          <w:position w:val="6"/>
          <w:sz w:val="20"/>
        </w:rPr>
        <w:t>6</w:t>
      </w:r>
      <w:r>
        <w:rPr>
          <w:sz w:val="20"/>
        </w:rPr>
        <w:t>Jean Anouil</w:t>
      </w:r>
      <w:r>
        <w:rPr>
          <w:sz w:val="20"/>
        </w:rPr>
        <w:t xml:space="preserve">h, </w:t>
      </w:r>
      <w:r>
        <w:rPr>
          <w:sz w:val="20"/>
          <w:u w:val="single"/>
        </w:rPr>
        <w:t>The Lark</w:t>
      </w:r>
      <w:r>
        <w:rPr>
          <w:sz w:val="20"/>
        </w:rPr>
        <w:t>, trans. Christopher Fry (London:  Methuen, 1955), 86.</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sz w:val="20"/>
        </w:rPr>
        <w:tab/>
        <w:t xml:space="preserve">Anouilh, Jean.  </w:t>
      </w:r>
      <w:r>
        <w:rPr>
          <w:sz w:val="20"/>
          <w:u w:val="single"/>
        </w:rPr>
        <w:t>The Lark</w:t>
      </w:r>
      <w:r>
        <w:rPr>
          <w:sz w:val="20"/>
        </w:rPr>
        <w:t>.  Translated by Christopher Fry.  London:  Methuen, 1955.</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Book--one of a series</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u w:val="single"/>
        </w:rPr>
      </w:pPr>
      <w:r>
        <w:rPr>
          <w:b/>
          <w:sz w:val="20"/>
        </w:rPr>
        <w:t>N</w:t>
      </w:r>
      <w:r>
        <w:rPr>
          <w:sz w:val="20"/>
        </w:rPr>
        <w:tab/>
      </w:r>
      <w:r>
        <w:rPr>
          <w:sz w:val="20"/>
        </w:rPr>
        <w:tab/>
      </w:r>
      <w:r>
        <w:rPr>
          <w:position w:val="6"/>
          <w:sz w:val="20"/>
        </w:rPr>
        <w:t>7</w:t>
      </w:r>
      <w:r>
        <w:rPr>
          <w:sz w:val="20"/>
        </w:rPr>
        <w:t xml:space="preserve">Ellen Pollak, </w:t>
      </w:r>
      <w:r>
        <w:rPr>
          <w:sz w:val="20"/>
          <w:u w:val="single"/>
        </w:rPr>
        <w:t xml:space="preserve">The Poetics of Sexual Myth:  Gender and Ideology in the Verse </w:t>
      </w:r>
      <w:r>
        <w:rPr>
          <w:sz w:val="20"/>
          <w:u w:val="single"/>
        </w:rPr>
        <w:t>of Swift</w:t>
      </w:r>
    </w:p>
    <w:p w:rsidR="00000000" w:rsidRDefault="009B2D14">
      <w:pPr>
        <w:tabs>
          <w:tab w:val="left" w:pos="720"/>
          <w:tab w:val="left" w:pos="1080"/>
        </w:tabs>
        <w:ind w:right="18"/>
        <w:rPr>
          <w:sz w:val="20"/>
        </w:rPr>
      </w:pPr>
      <w:r>
        <w:rPr>
          <w:sz w:val="20"/>
        </w:rPr>
        <w:tab/>
      </w:r>
      <w:r>
        <w:rPr>
          <w:sz w:val="20"/>
          <w:u w:val="single"/>
        </w:rPr>
        <w:t>and Pope</w:t>
      </w:r>
      <w:r>
        <w:rPr>
          <w:sz w:val="20"/>
        </w:rPr>
        <w:t>, Women in Culture and Society Series (Chicago:  University of Chicago Press,</w:t>
      </w:r>
    </w:p>
    <w:p w:rsidR="00000000" w:rsidRDefault="009B2D14">
      <w:pPr>
        <w:tabs>
          <w:tab w:val="left" w:pos="720"/>
          <w:tab w:val="left" w:pos="1080"/>
        </w:tabs>
        <w:ind w:right="18"/>
        <w:rPr>
          <w:b/>
          <w:sz w:val="20"/>
        </w:rPr>
      </w:pPr>
      <w:r>
        <w:rPr>
          <w:sz w:val="20"/>
        </w:rPr>
        <w:tab/>
        <w:t>1985), 124.</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u w:val="single"/>
        </w:rPr>
      </w:pPr>
      <w:r>
        <w:rPr>
          <w:b/>
          <w:sz w:val="20"/>
        </w:rPr>
        <w:t>B</w:t>
      </w:r>
      <w:r>
        <w:rPr>
          <w:b/>
          <w:sz w:val="20"/>
        </w:rPr>
        <w:tab/>
      </w:r>
      <w:r>
        <w:rPr>
          <w:sz w:val="20"/>
        </w:rPr>
        <w:t xml:space="preserve">Pollak, Ellen.  </w:t>
      </w:r>
      <w:r>
        <w:rPr>
          <w:sz w:val="20"/>
          <w:u w:val="single"/>
        </w:rPr>
        <w:t>The Poetics of Sexual Myth:  Gender and Ideology in the Verse of Swift and</w:t>
      </w:r>
    </w:p>
    <w:p w:rsidR="00000000" w:rsidRDefault="009B2D14">
      <w:pPr>
        <w:tabs>
          <w:tab w:val="left" w:pos="720"/>
          <w:tab w:val="left" w:pos="1080"/>
        </w:tabs>
        <w:ind w:right="18"/>
        <w:rPr>
          <w:sz w:val="20"/>
        </w:rPr>
      </w:pPr>
      <w:r>
        <w:rPr>
          <w:sz w:val="20"/>
        </w:rPr>
        <w:tab/>
      </w:r>
      <w:r>
        <w:rPr>
          <w:sz w:val="20"/>
        </w:rPr>
        <w:tab/>
      </w:r>
      <w:r>
        <w:rPr>
          <w:sz w:val="20"/>
          <w:u w:val="single"/>
        </w:rPr>
        <w:t>Pope</w:t>
      </w:r>
      <w:r>
        <w:rPr>
          <w:sz w:val="20"/>
        </w:rPr>
        <w:t>.  Women in Culture and Society Series.  Chicag</w:t>
      </w:r>
      <w:r>
        <w:rPr>
          <w:sz w:val="20"/>
        </w:rPr>
        <w:t>o:  University of Chicago Press,</w:t>
      </w:r>
    </w:p>
    <w:p w:rsidR="00000000" w:rsidRDefault="009B2D14">
      <w:pPr>
        <w:tabs>
          <w:tab w:val="left" w:pos="720"/>
          <w:tab w:val="left" w:pos="1080"/>
        </w:tabs>
        <w:ind w:right="18"/>
        <w:rPr>
          <w:sz w:val="20"/>
        </w:rPr>
      </w:pPr>
      <w:r>
        <w:rPr>
          <w:sz w:val="20"/>
        </w:rPr>
        <w:tab/>
      </w:r>
      <w:r>
        <w:rPr>
          <w:sz w:val="20"/>
        </w:rPr>
        <w:tab/>
        <w:t>1985.</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Book--edition other than first</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8</w:t>
      </w:r>
      <w:r>
        <w:rPr>
          <w:sz w:val="20"/>
        </w:rPr>
        <w:t xml:space="preserve">M. M. Bober, </w:t>
      </w:r>
      <w:r>
        <w:rPr>
          <w:sz w:val="20"/>
          <w:u w:val="single"/>
        </w:rPr>
        <w:t>Karl Marx's Interpretation of History</w:t>
      </w:r>
      <w:r>
        <w:rPr>
          <w:sz w:val="20"/>
        </w:rPr>
        <w:t>, 2nd ed. (Cambridge, Mass.:</w:t>
      </w:r>
    </w:p>
    <w:p w:rsidR="00000000" w:rsidRDefault="009B2D14">
      <w:pPr>
        <w:tabs>
          <w:tab w:val="left" w:pos="720"/>
          <w:tab w:val="left" w:pos="1080"/>
        </w:tabs>
        <w:ind w:right="18"/>
        <w:rPr>
          <w:b/>
          <w:sz w:val="20"/>
        </w:rPr>
      </w:pPr>
      <w:r>
        <w:rPr>
          <w:sz w:val="20"/>
        </w:rPr>
        <w:tab/>
        <w:t>Harvard University Press, 1948).</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sz w:val="20"/>
        </w:rPr>
        <w:tab/>
        <w:t xml:space="preserve">Bober, M. M.  </w:t>
      </w:r>
      <w:r>
        <w:rPr>
          <w:sz w:val="20"/>
          <w:u w:val="single"/>
        </w:rPr>
        <w:t>Karl Marx's Interpretation of History</w:t>
      </w:r>
      <w:r>
        <w:rPr>
          <w:sz w:val="20"/>
        </w:rPr>
        <w:t xml:space="preserve">.  2nd ed. </w:t>
      </w:r>
      <w:r>
        <w:rPr>
          <w:sz w:val="20"/>
        </w:rPr>
        <w:t xml:space="preserve"> Cambridge, Mass.:</w:t>
      </w:r>
    </w:p>
    <w:p w:rsidR="00000000" w:rsidRDefault="009B2D14">
      <w:pPr>
        <w:tabs>
          <w:tab w:val="left" w:pos="720"/>
          <w:tab w:val="left" w:pos="1080"/>
        </w:tabs>
        <w:ind w:right="18"/>
        <w:rPr>
          <w:sz w:val="20"/>
        </w:rPr>
      </w:pPr>
      <w:r>
        <w:rPr>
          <w:sz w:val="20"/>
        </w:rPr>
        <w:tab/>
      </w:r>
      <w:r>
        <w:rPr>
          <w:sz w:val="20"/>
        </w:rPr>
        <w:tab/>
        <w:t>Harvard University Press, 1948.</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Book--reprint edition</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9</w:t>
      </w:r>
      <w:r>
        <w:rPr>
          <w:sz w:val="20"/>
        </w:rPr>
        <w:t xml:space="preserve">Neil Harris, </w:t>
      </w:r>
      <w:r>
        <w:rPr>
          <w:sz w:val="20"/>
          <w:u w:val="single"/>
        </w:rPr>
        <w:t>The Artist in American Society:  The Formative Years, 1790-1860</w:t>
      </w:r>
    </w:p>
    <w:p w:rsidR="00000000" w:rsidRDefault="009B2D14">
      <w:pPr>
        <w:tabs>
          <w:tab w:val="left" w:pos="720"/>
          <w:tab w:val="left" w:pos="1080"/>
        </w:tabs>
        <w:ind w:right="18"/>
        <w:rPr>
          <w:sz w:val="20"/>
        </w:rPr>
      </w:pPr>
      <w:r>
        <w:rPr>
          <w:sz w:val="20"/>
        </w:rPr>
        <w:tab/>
        <w:t>(New York:  George Braziller, 1966; reprint, Chicago:  University of Chicago Press,</w:t>
      </w:r>
    </w:p>
    <w:p w:rsidR="00000000" w:rsidRDefault="009B2D14">
      <w:pPr>
        <w:tabs>
          <w:tab w:val="left" w:pos="720"/>
          <w:tab w:val="left" w:pos="1080"/>
        </w:tabs>
        <w:ind w:right="18"/>
        <w:rPr>
          <w:sz w:val="20"/>
        </w:rPr>
      </w:pPr>
      <w:r>
        <w:rPr>
          <w:sz w:val="20"/>
        </w:rPr>
        <w:tab/>
        <w:t>1982), 43-44</w:t>
      </w:r>
      <w:r>
        <w:rPr>
          <w:sz w:val="20"/>
        </w:rPr>
        <w:t xml:space="preserve"> (page references are to reprint edition).</w:t>
      </w:r>
    </w:p>
    <w:p w:rsidR="00000000" w:rsidRDefault="009B2D14">
      <w:pPr>
        <w:tabs>
          <w:tab w:val="left" w:pos="720"/>
          <w:tab w:val="left" w:pos="1080"/>
        </w:tabs>
        <w:ind w:right="18"/>
        <w:rPr>
          <w:sz w:val="20"/>
          <w:u w:val="single"/>
        </w:rPr>
      </w:pPr>
      <w:r>
        <w:rPr>
          <w:sz w:val="20"/>
          <w:u w:val="single"/>
        </w:rPr>
        <w:t>or</w:t>
      </w:r>
    </w:p>
    <w:p w:rsidR="00000000" w:rsidRDefault="009B2D14">
      <w:pPr>
        <w:tabs>
          <w:tab w:val="left" w:pos="720"/>
          <w:tab w:val="left" w:pos="1080"/>
        </w:tabs>
        <w:ind w:right="18"/>
        <w:rPr>
          <w:sz w:val="20"/>
        </w:rPr>
      </w:pPr>
      <w:r>
        <w:rPr>
          <w:sz w:val="20"/>
        </w:rPr>
        <w:tab/>
      </w:r>
      <w:r>
        <w:rPr>
          <w:sz w:val="20"/>
        </w:rPr>
        <w:tab/>
      </w:r>
      <w:r>
        <w:rPr>
          <w:position w:val="6"/>
          <w:sz w:val="20"/>
        </w:rPr>
        <w:t>9</w:t>
      </w:r>
      <w:r>
        <w:rPr>
          <w:sz w:val="20"/>
        </w:rPr>
        <w:t xml:space="preserve">Neil Harris, </w:t>
      </w:r>
      <w:r>
        <w:rPr>
          <w:sz w:val="20"/>
          <w:u w:val="single"/>
        </w:rPr>
        <w:t>The Artist in American Society:  The Formative Years, 1790-1860</w:t>
      </w:r>
    </w:p>
    <w:p w:rsidR="00000000" w:rsidRDefault="009B2D14">
      <w:pPr>
        <w:tabs>
          <w:tab w:val="left" w:pos="720"/>
          <w:tab w:val="left" w:pos="1080"/>
        </w:tabs>
        <w:ind w:right="18"/>
        <w:rPr>
          <w:sz w:val="20"/>
        </w:rPr>
      </w:pPr>
      <w:r>
        <w:rPr>
          <w:sz w:val="20"/>
        </w:rPr>
        <w:tab/>
        <w:t>(Chicago:  University of Chicago Press, 1982; orig. New York:  George Braziller,</w:t>
      </w:r>
    </w:p>
    <w:p w:rsidR="00000000" w:rsidRDefault="009B2D14">
      <w:pPr>
        <w:tabs>
          <w:tab w:val="left" w:pos="720"/>
          <w:tab w:val="left" w:pos="1080"/>
        </w:tabs>
        <w:ind w:right="18"/>
        <w:rPr>
          <w:b/>
          <w:sz w:val="20"/>
        </w:rPr>
      </w:pPr>
      <w:r>
        <w:rPr>
          <w:sz w:val="20"/>
        </w:rPr>
        <w:lastRenderedPageBreak/>
        <w:tab/>
        <w:t>1966), 43-44.</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b/>
          <w:sz w:val="20"/>
        </w:rPr>
        <w:tab/>
      </w:r>
      <w:r>
        <w:rPr>
          <w:sz w:val="20"/>
        </w:rPr>
        <w:t xml:space="preserve">Harris, Neil.  </w:t>
      </w:r>
      <w:r>
        <w:rPr>
          <w:sz w:val="20"/>
          <w:u w:val="single"/>
        </w:rPr>
        <w:t>The Artist in A</w:t>
      </w:r>
      <w:r>
        <w:rPr>
          <w:sz w:val="20"/>
          <w:u w:val="single"/>
        </w:rPr>
        <w:t>merican Society:  The Formative Years, 1790-1860</w:t>
      </w:r>
      <w:r>
        <w:rPr>
          <w:sz w:val="20"/>
        </w:rPr>
        <w:t>.  New</w:t>
      </w:r>
    </w:p>
    <w:p w:rsidR="00000000" w:rsidRDefault="009B2D14">
      <w:pPr>
        <w:tabs>
          <w:tab w:val="left" w:pos="720"/>
          <w:tab w:val="left" w:pos="1080"/>
        </w:tabs>
        <w:ind w:right="18"/>
        <w:rPr>
          <w:sz w:val="20"/>
        </w:rPr>
      </w:pPr>
      <w:r>
        <w:rPr>
          <w:sz w:val="20"/>
        </w:rPr>
        <w:tab/>
      </w:r>
      <w:r>
        <w:rPr>
          <w:sz w:val="20"/>
        </w:rPr>
        <w:tab/>
        <w:t>York:  George Braziller, 1966; reprint, Chicago:  University of Chicago Press,</w:t>
      </w:r>
    </w:p>
    <w:p w:rsidR="00000000" w:rsidRDefault="009B2D14">
      <w:pPr>
        <w:tabs>
          <w:tab w:val="left" w:pos="720"/>
          <w:tab w:val="left" w:pos="1080"/>
        </w:tabs>
        <w:ind w:right="18"/>
        <w:rPr>
          <w:sz w:val="20"/>
        </w:rPr>
      </w:pPr>
      <w:r>
        <w:rPr>
          <w:sz w:val="20"/>
        </w:rPr>
        <w:tab/>
        <w:t>1982.</w:t>
      </w:r>
    </w:p>
    <w:p w:rsidR="00000000" w:rsidRDefault="009B2D14">
      <w:pPr>
        <w:tabs>
          <w:tab w:val="left" w:pos="720"/>
          <w:tab w:val="left" w:pos="1080"/>
        </w:tabs>
        <w:ind w:right="18"/>
        <w:rPr>
          <w:sz w:val="20"/>
          <w:u w:val="single"/>
        </w:rPr>
      </w:pPr>
      <w:r>
        <w:rPr>
          <w:sz w:val="20"/>
          <w:u w:val="single"/>
        </w:rPr>
        <w:t>or</w:t>
      </w:r>
    </w:p>
    <w:p w:rsidR="00000000" w:rsidRDefault="009B2D14">
      <w:pPr>
        <w:tabs>
          <w:tab w:val="left" w:pos="720"/>
          <w:tab w:val="left" w:pos="1080"/>
        </w:tabs>
        <w:ind w:right="18"/>
        <w:rPr>
          <w:sz w:val="20"/>
        </w:rPr>
      </w:pPr>
      <w:r>
        <w:rPr>
          <w:sz w:val="20"/>
        </w:rPr>
        <w:tab/>
        <w:t xml:space="preserve">Harris, Neil.  </w:t>
      </w:r>
      <w:r>
        <w:rPr>
          <w:sz w:val="20"/>
          <w:u w:val="single"/>
        </w:rPr>
        <w:t>The Artist in American Society:  The Formative Years, 1790-1860</w:t>
      </w:r>
      <w:r>
        <w:rPr>
          <w:sz w:val="20"/>
        </w:rPr>
        <w:t>.</w:t>
      </w:r>
    </w:p>
    <w:p w:rsidR="00000000" w:rsidRDefault="009B2D14">
      <w:pPr>
        <w:tabs>
          <w:tab w:val="left" w:pos="720"/>
          <w:tab w:val="left" w:pos="1080"/>
        </w:tabs>
        <w:ind w:right="18"/>
        <w:rPr>
          <w:sz w:val="20"/>
        </w:rPr>
      </w:pPr>
      <w:r>
        <w:rPr>
          <w:sz w:val="20"/>
        </w:rPr>
        <w:tab/>
      </w:r>
      <w:r>
        <w:rPr>
          <w:sz w:val="20"/>
        </w:rPr>
        <w:tab/>
        <w:t>Chicago:  University of Chi</w:t>
      </w:r>
      <w:r>
        <w:rPr>
          <w:sz w:val="20"/>
        </w:rPr>
        <w:t>cago Press, 1982; orig. New York:  George Braziller,</w:t>
      </w:r>
    </w:p>
    <w:p w:rsidR="00000000" w:rsidRDefault="009B2D14">
      <w:pPr>
        <w:tabs>
          <w:tab w:val="left" w:pos="720"/>
          <w:tab w:val="left" w:pos="1080"/>
        </w:tabs>
        <w:ind w:right="18"/>
        <w:rPr>
          <w:sz w:val="20"/>
        </w:rPr>
      </w:pPr>
      <w:r>
        <w:rPr>
          <w:sz w:val="20"/>
        </w:rPr>
        <w:tab/>
      </w:r>
      <w:r>
        <w:rPr>
          <w:sz w:val="20"/>
        </w:rPr>
        <w:tab/>
        <w:t>1966.</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Book--privately printed</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10</w:t>
      </w:r>
      <w:r>
        <w:rPr>
          <w:sz w:val="20"/>
        </w:rPr>
        <w:t xml:space="preserve">Frank Budgeon, </w:t>
      </w:r>
      <w:r>
        <w:rPr>
          <w:sz w:val="20"/>
          <w:u w:val="single"/>
        </w:rPr>
        <w:t>Further Recollections of James Joyce</w:t>
      </w:r>
      <w:r>
        <w:rPr>
          <w:sz w:val="20"/>
        </w:rPr>
        <w:t xml:space="preserve"> (London:  Privately printed,</w:t>
      </w:r>
    </w:p>
    <w:p w:rsidR="00000000" w:rsidRDefault="009B2D14">
      <w:pPr>
        <w:tabs>
          <w:tab w:val="left" w:pos="720"/>
          <w:tab w:val="left" w:pos="1080"/>
        </w:tabs>
        <w:ind w:right="18"/>
        <w:rPr>
          <w:b/>
          <w:sz w:val="20"/>
        </w:rPr>
      </w:pPr>
      <w:r>
        <w:rPr>
          <w:sz w:val="20"/>
        </w:rPr>
        <w:tab/>
        <w:t>1955), 10.</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sz w:val="20"/>
        </w:rPr>
        <w:tab/>
        <w:t xml:space="preserve">Budgeon, Frank.  </w:t>
      </w:r>
      <w:r>
        <w:rPr>
          <w:sz w:val="20"/>
          <w:u w:val="single"/>
        </w:rPr>
        <w:t>Further Recollections of James Joyce</w:t>
      </w:r>
      <w:r>
        <w:rPr>
          <w:sz w:val="20"/>
        </w:rPr>
        <w:t>.  London:  Pri</w:t>
      </w:r>
      <w:r>
        <w:rPr>
          <w:sz w:val="20"/>
        </w:rPr>
        <w:t>vately printed,</w:t>
      </w:r>
    </w:p>
    <w:p w:rsidR="00000000" w:rsidRDefault="009B2D14">
      <w:pPr>
        <w:tabs>
          <w:tab w:val="left" w:pos="720"/>
          <w:tab w:val="left" w:pos="1080"/>
        </w:tabs>
        <w:ind w:right="18"/>
        <w:rPr>
          <w:sz w:val="20"/>
        </w:rPr>
      </w:pPr>
      <w:r>
        <w:rPr>
          <w:sz w:val="20"/>
        </w:rPr>
        <w:tab/>
      </w:r>
      <w:r>
        <w:rPr>
          <w:sz w:val="20"/>
        </w:rPr>
        <w:tab/>
        <w:t>1955.</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Book--chapter by one author in book by another</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11</w:t>
      </w:r>
      <w:r>
        <w:rPr>
          <w:sz w:val="20"/>
        </w:rPr>
        <w:t>Mary Higdon Beech, "The Domestic Realm in the Lives of Hindu Women in Calcutta,"</w:t>
      </w:r>
    </w:p>
    <w:p w:rsidR="00000000" w:rsidRDefault="009B2D14">
      <w:pPr>
        <w:tabs>
          <w:tab w:val="left" w:pos="720"/>
          <w:tab w:val="left" w:pos="1080"/>
        </w:tabs>
        <w:ind w:right="18"/>
        <w:rPr>
          <w:sz w:val="20"/>
        </w:rPr>
      </w:pPr>
      <w:r>
        <w:rPr>
          <w:sz w:val="20"/>
        </w:rPr>
        <w:tab/>
        <w:t xml:space="preserve">in </w:t>
      </w:r>
      <w:r>
        <w:rPr>
          <w:sz w:val="20"/>
          <w:u w:val="single"/>
        </w:rPr>
        <w:t>Separate Worlds:  Studies of Purdah in South Asia</w:t>
      </w:r>
      <w:r>
        <w:rPr>
          <w:sz w:val="20"/>
        </w:rPr>
        <w:t>, ed. Hanna Papanek and Gail Minault</w:t>
      </w:r>
    </w:p>
    <w:p w:rsidR="00000000" w:rsidRDefault="009B2D14">
      <w:pPr>
        <w:tabs>
          <w:tab w:val="left" w:pos="720"/>
          <w:tab w:val="left" w:pos="1080"/>
        </w:tabs>
        <w:ind w:right="18"/>
        <w:rPr>
          <w:b/>
          <w:sz w:val="20"/>
        </w:rPr>
      </w:pPr>
      <w:r>
        <w:rPr>
          <w:sz w:val="20"/>
        </w:rPr>
        <w:tab/>
        <w:t>(Delhi</w:t>
      </w:r>
      <w:r>
        <w:rPr>
          <w:sz w:val="20"/>
        </w:rPr>
        <w:t>:  Chanakya, 1982), 115.</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b/>
          <w:sz w:val="20"/>
        </w:rPr>
        <w:tab/>
      </w:r>
      <w:r>
        <w:rPr>
          <w:sz w:val="20"/>
        </w:rPr>
        <w:t>Beech, Mary Higdon.  "The Domestic Realm in the Lives of Hindu Women in Calcutta."  In</w:t>
      </w:r>
    </w:p>
    <w:p w:rsidR="00000000" w:rsidRDefault="009B2D14">
      <w:pPr>
        <w:tabs>
          <w:tab w:val="left" w:pos="720"/>
          <w:tab w:val="left" w:pos="1080"/>
        </w:tabs>
        <w:ind w:right="18"/>
        <w:rPr>
          <w:sz w:val="20"/>
        </w:rPr>
      </w:pPr>
      <w:r>
        <w:rPr>
          <w:sz w:val="20"/>
        </w:rPr>
        <w:tab/>
      </w:r>
      <w:r>
        <w:rPr>
          <w:sz w:val="20"/>
        </w:rPr>
        <w:tab/>
      </w:r>
      <w:r>
        <w:rPr>
          <w:sz w:val="20"/>
          <w:u w:val="single"/>
        </w:rPr>
        <w:t>Separate Worlds:  Studies of Purdah in South Asia</w:t>
      </w:r>
      <w:r>
        <w:rPr>
          <w:sz w:val="20"/>
        </w:rPr>
        <w:t>, ed. Hanna Papanek and Gail</w:t>
      </w:r>
    </w:p>
    <w:p w:rsidR="00000000" w:rsidRDefault="009B2D14">
      <w:pPr>
        <w:tabs>
          <w:tab w:val="left" w:pos="720"/>
          <w:tab w:val="left" w:pos="1080"/>
        </w:tabs>
        <w:ind w:right="18"/>
        <w:rPr>
          <w:sz w:val="20"/>
        </w:rPr>
      </w:pPr>
      <w:r>
        <w:rPr>
          <w:sz w:val="20"/>
        </w:rPr>
        <w:tab/>
      </w:r>
      <w:r>
        <w:rPr>
          <w:sz w:val="20"/>
        </w:rPr>
        <w:tab/>
        <w:t>Minault, 110-38.  Delhi:  Chanakya.</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Article in a journal</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12</w:t>
      </w:r>
      <w:r>
        <w:rPr>
          <w:sz w:val="20"/>
        </w:rPr>
        <w:t>Richard Jackson, "Running Down the Up-Escalator:  Regional Inequality in Papua</w:t>
      </w:r>
    </w:p>
    <w:p w:rsidR="00000000" w:rsidRDefault="009B2D14">
      <w:pPr>
        <w:tabs>
          <w:tab w:val="left" w:pos="720"/>
          <w:tab w:val="left" w:pos="1080"/>
        </w:tabs>
        <w:ind w:right="18"/>
        <w:rPr>
          <w:b/>
          <w:sz w:val="20"/>
        </w:rPr>
      </w:pPr>
      <w:r>
        <w:rPr>
          <w:sz w:val="20"/>
        </w:rPr>
        <w:tab/>
        <w:t xml:space="preserve">New Guinea," </w:t>
      </w:r>
      <w:r>
        <w:rPr>
          <w:sz w:val="20"/>
          <w:u w:val="single"/>
        </w:rPr>
        <w:t>Australian Geographer</w:t>
      </w:r>
      <w:r>
        <w:rPr>
          <w:sz w:val="20"/>
        </w:rPr>
        <w:t>, 14 (May 1979), 180.</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sz w:val="20"/>
        </w:rPr>
        <w:tab/>
        <w:t>Jackson, Richard.  "Running Down the Up-Escalator:  Regional Inequality in Papua New</w:t>
      </w:r>
    </w:p>
    <w:p w:rsidR="00000000" w:rsidRDefault="009B2D14">
      <w:pPr>
        <w:tabs>
          <w:tab w:val="left" w:pos="720"/>
          <w:tab w:val="left" w:pos="1080"/>
        </w:tabs>
        <w:ind w:right="18"/>
        <w:rPr>
          <w:sz w:val="20"/>
        </w:rPr>
      </w:pPr>
      <w:r>
        <w:rPr>
          <w:sz w:val="20"/>
        </w:rPr>
        <w:tab/>
      </w:r>
      <w:r>
        <w:rPr>
          <w:sz w:val="20"/>
        </w:rPr>
        <w:tab/>
        <w:t xml:space="preserve">Guinea."  </w:t>
      </w:r>
      <w:r>
        <w:rPr>
          <w:sz w:val="20"/>
          <w:u w:val="single"/>
        </w:rPr>
        <w:t>Australian Geog</w:t>
      </w:r>
      <w:r>
        <w:rPr>
          <w:sz w:val="20"/>
          <w:u w:val="single"/>
        </w:rPr>
        <w:t>rapher</w:t>
      </w:r>
      <w:r>
        <w:rPr>
          <w:sz w:val="20"/>
        </w:rPr>
        <w:t>, 14 (May 1979), 175-184.</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Article in a magazine</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13</w:t>
      </w:r>
      <w:r>
        <w:rPr>
          <w:sz w:val="20"/>
        </w:rPr>
        <w:t>Bruce Weber, "The Myth Maker:  The Creative Mind of Novelist E. L. Doctorow,"</w:t>
      </w:r>
    </w:p>
    <w:p w:rsidR="00000000" w:rsidRDefault="009B2D14">
      <w:pPr>
        <w:tabs>
          <w:tab w:val="left" w:pos="720"/>
          <w:tab w:val="left" w:pos="1080"/>
        </w:tabs>
        <w:ind w:right="18"/>
        <w:rPr>
          <w:b/>
          <w:sz w:val="20"/>
        </w:rPr>
      </w:pPr>
      <w:r>
        <w:rPr>
          <w:sz w:val="20"/>
        </w:rPr>
        <w:tab/>
      </w:r>
      <w:r>
        <w:rPr>
          <w:sz w:val="20"/>
          <w:u w:val="single"/>
        </w:rPr>
        <w:t>New York Times Magazine</w:t>
      </w:r>
      <w:r>
        <w:rPr>
          <w:sz w:val="20"/>
        </w:rPr>
        <w:t xml:space="preserve"> (October 20, 1985), 42.</w:t>
      </w:r>
    </w:p>
    <w:p w:rsidR="00000000" w:rsidRDefault="009B2D14">
      <w:pPr>
        <w:tabs>
          <w:tab w:val="left" w:pos="720"/>
          <w:tab w:val="left" w:pos="1080"/>
        </w:tabs>
        <w:ind w:right="18"/>
        <w:rPr>
          <w:b/>
          <w:sz w:val="20"/>
        </w:rPr>
      </w:pPr>
    </w:p>
    <w:p w:rsidR="00000000" w:rsidRDefault="009B2D14">
      <w:pPr>
        <w:tabs>
          <w:tab w:val="left" w:pos="720"/>
          <w:tab w:val="left" w:pos="1080"/>
        </w:tabs>
        <w:ind w:right="18"/>
        <w:rPr>
          <w:b/>
          <w:sz w:val="20"/>
        </w:rPr>
      </w:pPr>
      <w:r>
        <w:rPr>
          <w:b/>
          <w:sz w:val="20"/>
        </w:rPr>
        <w:t>B</w:t>
      </w:r>
      <w:r>
        <w:rPr>
          <w:sz w:val="20"/>
        </w:rPr>
        <w:tab/>
        <w:t>Weber, Bruce.  "The Myth Maker:  The Creative Mind of Novelist E.</w:t>
      </w:r>
      <w:r>
        <w:rPr>
          <w:sz w:val="20"/>
        </w:rPr>
        <w:t xml:space="preserve"> L. Doctorow."  </w:t>
      </w:r>
      <w:r>
        <w:rPr>
          <w:sz w:val="20"/>
          <w:u w:val="single"/>
        </w:rPr>
        <w:t>New</w:t>
      </w:r>
    </w:p>
    <w:p w:rsidR="00000000" w:rsidRDefault="009B2D14">
      <w:pPr>
        <w:tabs>
          <w:tab w:val="left" w:pos="720"/>
          <w:tab w:val="left" w:pos="1080"/>
        </w:tabs>
        <w:ind w:right="18"/>
        <w:rPr>
          <w:sz w:val="20"/>
        </w:rPr>
      </w:pPr>
      <w:r>
        <w:rPr>
          <w:sz w:val="20"/>
        </w:rPr>
        <w:tab/>
      </w:r>
      <w:r>
        <w:rPr>
          <w:sz w:val="20"/>
        </w:rPr>
        <w:tab/>
      </w:r>
      <w:r>
        <w:rPr>
          <w:sz w:val="20"/>
          <w:u w:val="single"/>
        </w:rPr>
        <w:t>York Times Magazine</w:t>
      </w:r>
      <w:r>
        <w:rPr>
          <w:sz w:val="20"/>
        </w:rPr>
        <w:t xml:space="preserve"> (October 20, 1985), 42.</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Article in a newspaper</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u w:val="single"/>
        </w:rPr>
      </w:pPr>
      <w:r>
        <w:rPr>
          <w:b/>
          <w:sz w:val="20"/>
        </w:rPr>
        <w:t>N</w:t>
      </w:r>
      <w:r>
        <w:rPr>
          <w:sz w:val="20"/>
        </w:rPr>
        <w:tab/>
      </w:r>
      <w:r>
        <w:rPr>
          <w:sz w:val="20"/>
        </w:rPr>
        <w:tab/>
      </w:r>
      <w:r>
        <w:rPr>
          <w:position w:val="6"/>
          <w:sz w:val="20"/>
        </w:rPr>
        <w:t>14</w:t>
      </w:r>
      <w:r>
        <w:rPr>
          <w:sz w:val="20"/>
        </w:rPr>
        <w:t xml:space="preserve">Andre Camille, "Deciding Who Gets Dibs on Health-Care Dollars," </w:t>
      </w:r>
      <w:r>
        <w:rPr>
          <w:sz w:val="20"/>
          <w:u w:val="single"/>
        </w:rPr>
        <w:t>Wall Street</w:t>
      </w:r>
    </w:p>
    <w:p w:rsidR="00000000" w:rsidRDefault="009B2D14">
      <w:pPr>
        <w:tabs>
          <w:tab w:val="left" w:pos="720"/>
          <w:tab w:val="left" w:pos="1080"/>
        </w:tabs>
        <w:ind w:right="18"/>
        <w:rPr>
          <w:b/>
          <w:sz w:val="20"/>
        </w:rPr>
      </w:pPr>
      <w:r>
        <w:rPr>
          <w:sz w:val="20"/>
        </w:rPr>
        <w:tab/>
      </w:r>
      <w:r>
        <w:rPr>
          <w:sz w:val="20"/>
          <w:u w:val="single"/>
        </w:rPr>
        <w:t>Journal</w:t>
      </w:r>
      <w:r>
        <w:rPr>
          <w:sz w:val="20"/>
        </w:rPr>
        <w:t xml:space="preserve"> (March 27, 1984), 30, 34.</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b/>
          <w:sz w:val="20"/>
        </w:rPr>
        <w:tab/>
      </w:r>
      <w:r>
        <w:rPr>
          <w:sz w:val="20"/>
        </w:rPr>
        <w:t>Camille, Andre.  "Deciding Who Gets Dibs on He</w:t>
      </w:r>
      <w:r>
        <w:rPr>
          <w:sz w:val="20"/>
        </w:rPr>
        <w:t xml:space="preserve">alth-Care Dollars."  </w:t>
      </w:r>
      <w:r>
        <w:rPr>
          <w:sz w:val="20"/>
          <w:u w:val="single"/>
        </w:rPr>
        <w:t>Wall Street Journal</w:t>
      </w:r>
    </w:p>
    <w:p w:rsidR="00000000" w:rsidRDefault="009B2D14">
      <w:pPr>
        <w:tabs>
          <w:tab w:val="left" w:pos="720"/>
          <w:tab w:val="left" w:pos="1080"/>
        </w:tabs>
        <w:ind w:right="18"/>
        <w:rPr>
          <w:sz w:val="20"/>
        </w:rPr>
      </w:pPr>
      <w:r>
        <w:rPr>
          <w:sz w:val="20"/>
        </w:rPr>
        <w:tab/>
      </w:r>
      <w:r>
        <w:rPr>
          <w:sz w:val="20"/>
        </w:rPr>
        <w:tab/>
        <w:t>(March 27, 1984), 30, 34.</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br w:type="page"/>
      </w:r>
      <w:r>
        <w:rPr>
          <w:b/>
          <w:sz w:val="20"/>
        </w:rPr>
        <w:lastRenderedPageBreak/>
        <w:t>Book review in a journal</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15</w:t>
      </w:r>
      <w:r>
        <w:rPr>
          <w:sz w:val="20"/>
        </w:rPr>
        <w:t xml:space="preserve">Dwight Frankfather, review of </w:t>
      </w:r>
      <w:r>
        <w:rPr>
          <w:sz w:val="20"/>
          <w:u w:val="single"/>
        </w:rPr>
        <w:t>The Disabled State</w:t>
      </w:r>
      <w:r>
        <w:rPr>
          <w:sz w:val="20"/>
        </w:rPr>
        <w:t>, by Deborah A. Stone, in</w:t>
      </w:r>
    </w:p>
    <w:p w:rsidR="00000000" w:rsidRDefault="009B2D14">
      <w:pPr>
        <w:tabs>
          <w:tab w:val="left" w:pos="720"/>
          <w:tab w:val="left" w:pos="1080"/>
        </w:tabs>
        <w:ind w:right="18"/>
        <w:rPr>
          <w:b/>
          <w:sz w:val="20"/>
        </w:rPr>
      </w:pPr>
      <w:r>
        <w:rPr>
          <w:sz w:val="20"/>
        </w:rPr>
        <w:tab/>
      </w:r>
      <w:r>
        <w:rPr>
          <w:sz w:val="20"/>
          <w:u w:val="single"/>
        </w:rPr>
        <w:t>Social Service Review</w:t>
      </w:r>
      <w:r>
        <w:rPr>
          <w:sz w:val="20"/>
        </w:rPr>
        <w:t>, 59 (September 1985), 524.</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u w:val="single"/>
        </w:rPr>
      </w:pPr>
      <w:r>
        <w:rPr>
          <w:b/>
          <w:sz w:val="20"/>
        </w:rPr>
        <w:t>B</w:t>
      </w:r>
      <w:r>
        <w:rPr>
          <w:b/>
          <w:sz w:val="20"/>
        </w:rPr>
        <w:tab/>
      </w:r>
      <w:r>
        <w:rPr>
          <w:sz w:val="20"/>
        </w:rPr>
        <w:t>Frankfather, Dwight.  Revie</w:t>
      </w:r>
      <w:r>
        <w:rPr>
          <w:sz w:val="20"/>
        </w:rPr>
        <w:t xml:space="preserve">w of </w:t>
      </w:r>
      <w:r>
        <w:rPr>
          <w:sz w:val="20"/>
          <w:u w:val="single"/>
        </w:rPr>
        <w:t>The Disabled State</w:t>
      </w:r>
      <w:r>
        <w:rPr>
          <w:sz w:val="20"/>
        </w:rPr>
        <w:t xml:space="preserve">, by Deborah A. Stone.  In </w:t>
      </w:r>
      <w:r>
        <w:rPr>
          <w:sz w:val="20"/>
          <w:u w:val="single"/>
        </w:rPr>
        <w:t>Social</w:t>
      </w:r>
    </w:p>
    <w:p w:rsidR="00000000" w:rsidRDefault="009B2D14">
      <w:pPr>
        <w:tabs>
          <w:tab w:val="left" w:pos="720"/>
          <w:tab w:val="left" w:pos="1080"/>
        </w:tabs>
        <w:ind w:right="18"/>
        <w:rPr>
          <w:sz w:val="20"/>
        </w:rPr>
      </w:pPr>
      <w:r>
        <w:rPr>
          <w:sz w:val="20"/>
        </w:rPr>
        <w:tab/>
      </w:r>
      <w:r>
        <w:rPr>
          <w:sz w:val="20"/>
        </w:rPr>
        <w:tab/>
      </w:r>
      <w:r>
        <w:rPr>
          <w:sz w:val="20"/>
          <w:u w:val="single"/>
        </w:rPr>
        <w:t>Service Review</w:t>
      </w:r>
      <w:r>
        <w:rPr>
          <w:sz w:val="20"/>
        </w:rPr>
        <w:t>, 59 (September 1985), 523-525.</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Interview--unpublished</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16</w:t>
      </w:r>
      <w:r>
        <w:rPr>
          <w:sz w:val="20"/>
        </w:rPr>
        <w:t>Benjamin Spock, interview by Milton J. E. Senn, November 20, 1974, interview</w:t>
      </w:r>
    </w:p>
    <w:p w:rsidR="00000000" w:rsidRDefault="009B2D14">
      <w:pPr>
        <w:tabs>
          <w:tab w:val="left" w:pos="720"/>
          <w:tab w:val="left" w:pos="1080"/>
        </w:tabs>
        <w:ind w:right="18"/>
        <w:rPr>
          <w:b/>
          <w:sz w:val="20"/>
        </w:rPr>
      </w:pPr>
      <w:r>
        <w:rPr>
          <w:sz w:val="20"/>
        </w:rPr>
        <w:tab/>
        <w:t>67A, transcript, Senn Oral History Collecti</w:t>
      </w:r>
      <w:r>
        <w:rPr>
          <w:sz w:val="20"/>
        </w:rPr>
        <w:t>on, National Library of Medicine, Bethesda, Md.</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sz w:val="20"/>
        </w:rPr>
        <w:tab/>
        <w:t>Spock, Benjamin.  Interview by Milton J. E. Senn, November 20, 1974.  Interview 67A,</w:t>
      </w:r>
    </w:p>
    <w:p w:rsidR="00000000" w:rsidRDefault="009B2D14">
      <w:pPr>
        <w:tabs>
          <w:tab w:val="left" w:pos="720"/>
          <w:tab w:val="left" w:pos="1080"/>
        </w:tabs>
        <w:ind w:right="18"/>
        <w:rPr>
          <w:sz w:val="20"/>
        </w:rPr>
      </w:pPr>
      <w:r>
        <w:rPr>
          <w:sz w:val="20"/>
        </w:rPr>
        <w:tab/>
      </w:r>
      <w:r>
        <w:rPr>
          <w:sz w:val="20"/>
        </w:rPr>
        <w:tab/>
        <w:t>transcript.  Senn Oral History Collection, National Library of Medicine, Bethesda, Md.</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Interview by author of researc</w:t>
      </w:r>
      <w:r>
        <w:rPr>
          <w:b/>
          <w:sz w:val="20"/>
        </w:rPr>
        <w:t>h paper</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17</w:t>
      </w:r>
      <w:r>
        <w:rPr>
          <w:sz w:val="20"/>
        </w:rPr>
        <w:t>Mayor Harold Washington of Chicago, interview by author, September 23, 1985,</w:t>
      </w:r>
    </w:p>
    <w:p w:rsidR="00000000" w:rsidRDefault="009B2D14">
      <w:pPr>
        <w:tabs>
          <w:tab w:val="left" w:pos="720"/>
          <w:tab w:val="left" w:pos="1080"/>
        </w:tabs>
        <w:ind w:right="18"/>
        <w:rPr>
          <w:b/>
          <w:sz w:val="20"/>
        </w:rPr>
      </w:pPr>
      <w:r>
        <w:rPr>
          <w:sz w:val="20"/>
        </w:rPr>
        <w:tab/>
        <w:t>Chicago, tape recording, Chicago Historical Society, Chicago.</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b/>
          <w:sz w:val="20"/>
        </w:rPr>
        <w:tab/>
      </w:r>
      <w:r>
        <w:rPr>
          <w:sz w:val="20"/>
        </w:rPr>
        <w:t>Washington, Harold, mayor of Chicago.  Interview by author, September 23, 1985,</w:t>
      </w:r>
    </w:p>
    <w:p w:rsidR="00000000" w:rsidRDefault="009B2D14">
      <w:pPr>
        <w:tabs>
          <w:tab w:val="left" w:pos="720"/>
          <w:tab w:val="left" w:pos="1080"/>
        </w:tabs>
        <w:ind w:right="18"/>
        <w:rPr>
          <w:sz w:val="20"/>
        </w:rPr>
      </w:pPr>
      <w:r>
        <w:rPr>
          <w:sz w:val="20"/>
        </w:rPr>
        <w:tab/>
      </w:r>
      <w:r>
        <w:rPr>
          <w:sz w:val="20"/>
        </w:rPr>
        <w:tab/>
        <w:t>Chicago.  Tape re</w:t>
      </w:r>
      <w:r>
        <w:rPr>
          <w:sz w:val="20"/>
        </w:rPr>
        <w:t>cording.  Chicago Historical Society, Chicago.</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Letter</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18</w:t>
      </w:r>
      <w:r>
        <w:rPr>
          <w:sz w:val="20"/>
        </w:rPr>
        <w:t>Percy Bysshe Shelley, Padua, to Mary Wollstonecraft Shelley, Este, September</w:t>
      </w:r>
    </w:p>
    <w:p w:rsidR="00000000" w:rsidRDefault="009B2D14">
      <w:pPr>
        <w:tabs>
          <w:tab w:val="left" w:pos="720"/>
          <w:tab w:val="left" w:pos="1080"/>
        </w:tabs>
        <w:ind w:right="18"/>
        <w:rPr>
          <w:sz w:val="20"/>
        </w:rPr>
      </w:pPr>
      <w:r>
        <w:rPr>
          <w:sz w:val="20"/>
        </w:rPr>
        <w:tab/>
        <w:t>22, 1818, transcript in the hand of Mary Wollstonecraft Shelley, Special Collections,</w:t>
      </w:r>
    </w:p>
    <w:p w:rsidR="00000000" w:rsidRDefault="009B2D14">
      <w:pPr>
        <w:tabs>
          <w:tab w:val="left" w:pos="720"/>
          <w:tab w:val="left" w:pos="1080"/>
        </w:tabs>
        <w:ind w:right="18"/>
        <w:rPr>
          <w:b/>
          <w:sz w:val="20"/>
        </w:rPr>
      </w:pPr>
      <w:r>
        <w:rPr>
          <w:sz w:val="20"/>
        </w:rPr>
        <w:tab/>
        <w:t>Joseph Regenstein Library, Uni</w:t>
      </w:r>
      <w:r>
        <w:rPr>
          <w:sz w:val="20"/>
        </w:rPr>
        <w:t>versity of Chicago, Chicago.</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b/>
          <w:sz w:val="20"/>
        </w:rPr>
        <w:tab/>
      </w:r>
      <w:r>
        <w:rPr>
          <w:sz w:val="20"/>
        </w:rPr>
        <w:t>Shelley, Percy Bysshe, Padua, to Mary Wollstonecraft Shelley, Este, September 22,</w:t>
      </w:r>
    </w:p>
    <w:p w:rsidR="00000000" w:rsidRDefault="009B2D14">
      <w:pPr>
        <w:tabs>
          <w:tab w:val="left" w:pos="720"/>
          <w:tab w:val="left" w:pos="1080"/>
        </w:tabs>
        <w:ind w:right="18"/>
        <w:rPr>
          <w:sz w:val="20"/>
        </w:rPr>
      </w:pPr>
      <w:r>
        <w:rPr>
          <w:sz w:val="20"/>
        </w:rPr>
        <w:tab/>
      </w:r>
      <w:r>
        <w:rPr>
          <w:sz w:val="20"/>
        </w:rPr>
        <w:tab/>
        <w:t>1818.  Transcript in the hand of Mary Wollstonecraft Shelley.  Special Collections,</w:t>
      </w:r>
    </w:p>
    <w:p w:rsidR="00000000" w:rsidRDefault="009B2D14">
      <w:pPr>
        <w:tabs>
          <w:tab w:val="left" w:pos="720"/>
          <w:tab w:val="left" w:pos="1080"/>
        </w:tabs>
        <w:ind w:right="18"/>
        <w:rPr>
          <w:sz w:val="20"/>
        </w:rPr>
      </w:pPr>
      <w:r>
        <w:rPr>
          <w:sz w:val="20"/>
        </w:rPr>
        <w:tab/>
      </w:r>
      <w:r>
        <w:rPr>
          <w:sz w:val="20"/>
        </w:rPr>
        <w:tab/>
        <w:t>Joseph Regenstein Library, University of Chicago, Chic</w:t>
      </w:r>
      <w:r>
        <w:rPr>
          <w:sz w:val="20"/>
        </w:rPr>
        <w:t>ago.</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Thesis or dissertation</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19</w:t>
      </w:r>
      <w:r>
        <w:rPr>
          <w:sz w:val="20"/>
        </w:rPr>
        <w:t>Gilberto Artioli, "Structural Studies of the Water Molecules and Hydrogen Bonding</w:t>
      </w:r>
    </w:p>
    <w:p w:rsidR="00000000" w:rsidRDefault="009B2D14">
      <w:pPr>
        <w:tabs>
          <w:tab w:val="left" w:pos="720"/>
          <w:tab w:val="left" w:pos="1080"/>
        </w:tabs>
        <w:ind w:right="18"/>
        <w:rPr>
          <w:b/>
          <w:sz w:val="20"/>
        </w:rPr>
      </w:pPr>
      <w:r>
        <w:rPr>
          <w:sz w:val="20"/>
        </w:rPr>
        <w:tab/>
        <w:t>in Zeolites" (Ph.D. diss., University of Chicago, 1985), 10.</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B</w:t>
      </w:r>
      <w:r>
        <w:rPr>
          <w:b/>
          <w:sz w:val="20"/>
        </w:rPr>
        <w:tab/>
      </w:r>
      <w:r>
        <w:rPr>
          <w:sz w:val="20"/>
        </w:rPr>
        <w:t>Artioli, Gilberto. "Structural Studies of the Water Molecules and Hydrogen</w:t>
      </w:r>
      <w:r>
        <w:rPr>
          <w:sz w:val="20"/>
        </w:rPr>
        <w:t xml:space="preserve"> Bonding in</w:t>
      </w:r>
    </w:p>
    <w:p w:rsidR="00000000" w:rsidRDefault="009B2D14">
      <w:pPr>
        <w:tabs>
          <w:tab w:val="left" w:pos="720"/>
          <w:tab w:val="left" w:pos="1080"/>
        </w:tabs>
        <w:ind w:right="18"/>
        <w:rPr>
          <w:sz w:val="20"/>
        </w:rPr>
      </w:pPr>
      <w:r>
        <w:rPr>
          <w:sz w:val="20"/>
        </w:rPr>
        <w:tab/>
      </w:r>
      <w:r>
        <w:rPr>
          <w:sz w:val="20"/>
        </w:rPr>
        <w:tab/>
        <w:t>Zeolites."  Ph.D. diss., University of Chicago, 1985).</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Multiple references in a single note</w:t>
      </w:r>
    </w:p>
    <w:p w:rsidR="00000000" w:rsidRDefault="009B2D14">
      <w:pPr>
        <w:tabs>
          <w:tab w:val="left" w:pos="720"/>
          <w:tab w:val="left" w:pos="1080"/>
        </w:tabs>
        <w:ind w:right="18"/>
        <w:rPr>
          <w:b/>
          <w:sz w:val="20"/>
        </w:rPr>
      </w:pPr>
    </w:p>
    <w:p w:rsidR="00000000" w:rsidRDefault="009B2D14">
      <w:pPr>
        <w:tabs>
          <w:tab w:val="left" w:pos="720"/>
          <w:tab w:val="left" w:pos="1080"/>
        </w:tabs>
        <w:ind w:right="18"/>
        <w:rPr>
          <w:b/>
          <w:sz w:val="20"/>
        </w:rPr>
      </w:pPr>
      <w:r>
        <w:rPr>
          <w:sz w:val="20"/>
        </w:rPr>
        <w:t>Separate references with semicolons.  List them in the order in which you used them in the body of your text.</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b/>
          <w:sz w:val="20"/>
        </w:rPr>
        <w:tab/>
      </w:r>
      <w:r>
        <w:rPr>
          <w:b/>
          <w:sz w:val="20"/>
        </w:rPr>
        <w:tab/>
      </w:r>
      <w:r>
        <w:rPr>
          <w:position w:val="6"/>
          <w:sz w:val="20"/>
        </w:rPr>
        <w:t>20</w:t>
      </w:r>
      <w:r>
        <w:rPr>
          <w:sz w:val="20"/>
        </w:rPr>
        <w:t xml:space="preserve">Samuel P. Langley, </w:t>
      </w:r>
      <w:r>
        <w:rPr>
          <w:sz w:val="20"/>
          <w:u w:val="single"/>
        </w:rPr>
        <w:t>James Smithso</w:t>
      </w:r>
      <w:r>
        <w:rPr>
          <w:sz w:val="20"/>
          <w:u w:val="single"/>
        </w:rPr>
        <w:t>n</w:t>
      </w:r>
      <w:r>
        <w:rPr>
          <w:sz w:val="20"/>
        </w:rPr>
        <w:t xml:space="preserve"> (Washington, D.C.:  Smithsonian Institution,</w:t>
      </w:r>
    </w:p>
    <w:p w:rsidR="00000000" w:rsidRDefault="009B2D14">
      <w:pPr>
        <w:tabs>
          <w:tab w:val="left" w:pos="720"/>
          <w:tab w:val="left" w:pos="1080"/>
        </w:tabs>
        <w:ind w:right="18"/>
        <w:rPr>
          <w:sz w:val="20"/>
        </w:rPr>
      </w:pPr>
      <w:r>
        <w:rPr>
          <w:sz w:val="20"/>
        </w:rPr>
        <w:tab/>
        <w:t xml:space="preserve">1904), 18-19; Paul Oehser, </w:t>
      </w:r>
      <w:r>
        <w:rPr>
          <w:sz w:val="20"/>
          <w:u w:val="single"/>
        </w:rPr>
        <w:t>Sons of Science</w:t>
      </w:r>
      <w:r>
        <w:rPr>
          <w:sz w:val="20"/>
        </w:rPr>
        <w:t xml:space="preserve"> (New York:  Henry Schuman, 1949), 1,</w:t>
      </w:r>
    </w:p>
    <w:p w:rsidR="00000000" w:rsidRDefault="009B2D14">
      <w:pPr>
        <w:tabs>
          <w:tab w:val="left" w:pos="720"/>
          <w:tab w:val="left" w:pos="1080"/>
        </w:tabs>
        <w:ind w:right="18"/>
        <w:rPr>
          <w:sz w:val="20"/>
          <w:u w:val="single"/>
        </w:rPr>
      </w:pPr>
      <w:r>
        <w:rPr>
          <w:sz w:val="20"/>
        </w:rPr>
        <w:tab/>
        <w:t xml:space="preserve">9-11; Webster True, </w:t>
      </w:r>
      <w:r>
        <w:rPr>
          <w:sz w:val="20"/>
          <w:u w:val="single"/>
        </w:rPr>
        <w:t>The First Hundred Years of the Smithsonian Institution, 1846-</w:t>
      </w:r>
    </w:p>
    <w:p w:rsidR="00000000" w:rsidRDefault="009B2D14">
      <w:pPr>
        <w:tabs>
          <w:tab w:val="left" w:pos="720"/>
          <w:tab w:val="left" w:pos="1080"/>
        </w:tabs>
        <w:ind w:right="18"/>
        <w:rPr>
          <w:sz w:val="20"/>
        </w:rPr>
      </w:pPr>
      <w:r>
        <w:rPr>
          <w:sz w:val="20"/>
        </w:rPr>
        <w:tab/>
      </w:r>
      <w:r>
        <w:rPr>
          <w:sz w:val="20"/>
          <w:u w:val="single"/>
        </w:rPr>
        <w:t>1946</w:t>
      </w:r>
      <w:r>
        <w:rPr>
          <w:sz w:val="20"/>
        </w:rPr>
        <w:t xml:space="preserve"> (Washington, D.C.:  Smithsonian Institu</w:t>
      </w:r>
      <w:r>
        <w:rPr>
          <w:sz w:val="20"/>
        </w:rPr>
        <w:t>tion, 1946), 2-106.</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Second and subsequent notes to a source</w:t>
      </w:r>
    </w:p>
    <w:p w:rsidR="00000000" w:rsidRDefault="009B2D14">
      <w:pPr>
        <w:tabs>
          <w:tab w:val="left" w:pos="720"/>
          <w:tab w:val="left" w:pos="1080"/>
        </w:tabs>
        <w:ind w:right="18"/>
        <w:rPr>
          <w:b/>
          <w:sz w:val="20"/>
        </w:rPr>
      </w:pPr>
    </w:p>
    <w:p w:rsidR="00000000" w:rsidRDefault="009B2D14">
      <w:pPr>
        <w:tabs>
          <w:tab w:val="left" w:pos="720"/>
          <w:tab w:val="left" w:pos="1080"/>
        </w:tabs>
        <w:ind w:right="18"/>
        <w:rPr>
          <w:b/>
          <w:sz w:val="20"/>
        </w:rPr>
      </w:pPr>
      <w:r>
        <w:rPr>
          <w:sz w:val="20"/>
        </w:rPr>
        <w:t>You do not need to repeat the full citation to a source when you cite it a second or subsequent time.  But please do not make it hard for your reader to figure out what item you are citing.  The</w:t>
      </w:r>
      <w:r>
        <w:rPr>
          <w:sz w:val="20"/>
        </w:rPr>
        <w:t xml:space="preserve"> easiest way to handle this is to use a shortened form for the second and subsequent notes:</w:t>
      </w:r>
    </w:p>
    <w:p w:rsidR="00000000" w:rsidRDefault="009B2D14">
      <w:pPr>
        <w:tabs>
          <w:tab w:val="left" w:pos="720"/>
          <w:tab w:val="left" w:pos="1080"/>
        </w:tabs>
        <w:ind w:right="18"/>
        <w:rPr>
          <w:b/>
          <w:sz w:val="20"/>
        </w:rPr>
      </w:pPr>
    </w:p>
    <w:p w:rsidR="00000000" w:rsidRDefault="009B2D14">
      <w:pPr>
        <w:tabs>
          <w:tab w:val="left" w:pos="720"/>
          <w:tab w:val="left" w:pos="1080"/>
        </w:tabs>
        <w:ind w:right="18"/>
        <w:rPr>
          <w:sz w:val="20"/>
        </w:rPr>
      </w:pPr>
      <w:r>
        <w:rPr>
          <w:b/>
          <w:sz w:val="20"/>
        </w:rPr>
        <w:t>N</w:t>
      </w:r>
      <w:r>
        <w:rPr>
          <w:b/>
          <w:sz w:val="20"/>
        </w:rPr>
        <w:tab/>
      </w:r>
      <w:r>
        <w:rPr>
          <w:b/>
          <w:sz w:val="20"/>
        </w:rPr>
        <w:tab/>
      </w:r>
      <w:r>
        <w:rPr>
          <w:position w:val="6"/>
          <w:sz w:val="20"/>
        </w:rPr>
        <w:t>21</w:t>
      </w:r>
      <w:r>
        <w:rPr>
          <w:sz w:val="20"/>
        </w:rPr>
        <w:t xml:space="preserve">Arthur Waley, </w:t>
      </w:r>
      <w:r>
        <w:rPr>
          <w:sz w:val="20"/>
          <w:u w:val="single"/>
        </w:rPr>
        <w:t>The Analects of Confucius</w:t>
      </w:r>
      <w:r>
        <w:rPr>
          <w:sz w:val="20"/>
        </w:rPr>
        <w:t xml:space="preserve"> (London:  George Allen &amp; Unwin, 1938), 33.</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ab/>
      </w:r>
      <w:r>
        <w:rPr>
          <w:sz w:val="20"/>
        </w:rPr>
        <w:tab/>
      </w:r>
      <w:r>
        <w:rPr>
          <w:position w:val="6"/>
          <w:sz w:val="20"/>
        </w:rPr>
        <w:t>22</w:t>
      </w:r>
      <w:r>
        <w:rPr>
          <w:sz w:val="20"/>
        </w:rPr>
        <w:t xml:space="preserve">Waley, </w:t>
      </w:r>
      <w:r>
        <w:rPr>
          <w:sz w:val="20"/>
          <w:u w:val="single"/>
        </w:rPr>
        <w:t>Analects</w:t>
      </w:r>
      <w:r>
        <w:rPr>
          <w:sz w:val="20"/>
        </w:rPr>
        <w:t>, 37.</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 xml:space="preserve">A more formal way to handle the same problem is </w:t>
      </w:r>
      <w:r>
        <w:rPr>
          <w:sz w:val="20"/>
        </w:rPr>
        <w:t xml:space="preserve">to use "ibid." (which is an abbreviation of the Latin, </w:t>
      </w:r>
      <w:r>
        <w:rPr>
          <w:sz w:val="20"/>
          <w:u w:val="single"/>
        </w:rPr>
        <w:t>ibidem</w:t>
      </w:r>
      <w:r>
        <w:rPr>
          <w:sz w:val="20"/>
        </w:rPr>
        <w:t>, "in the same place").  If one reference to Waley's book on the writings of Confucius follows on another without an intervening note, then you can write notes like these:</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N</w:t>
      </w:r>
      <w:r>
        <w:rPr>
          <w:sz w:val="20"/>
        </w:rPr>
        <w:tab/>
      </w:r>
      <w:r>
        <w:rPr>
          <w:sz w:val="20"/>
        </w:rPr>
        <w:tab/>
      </w:r>
      <w:r>
        <w:rPr>
          <w:position w:val="6"/>
          <w:sz w:val="20"/>
        </w:rPr>
        <w:t>23</w:t>
      </w:r>
      <w:r>
        <w:rPr>
          <w:sz w:val="20"/>
        </w:rPr>
        <w:t xml:space="preserve">Arthur Waley, </w:t>
      </w:r>
      <w:r>
        <w:rPr>
          <w:sz w:val="20"/>
          <w:u w:val="single"/>
        </w:rPr>
        <w:t>Th</w:t>
      </w:r>
      <w:r>
        <w:rPr>
          <w:sz w:val="20"/>
          <w:u w:val="single"/>
        </w:rPr>
        <w:t>e Analects of Confucius</w:t>
      </w:r>
      <w:r>
        <w:rPr>
          <w:sz w:val="20"/>
        </w:rPr>
        <w:t xml:space="preserve"> (London:  George Allen &amp; Unwin, 1938), 33.</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ab/>
      </w:r>
      <w:r>
        <w:rPr>
          <w:sz w:val="20"/>
        </w:rPr>
        <w:tab/>
      </w:r>
      <w:r>
        <w:rPr>
          <w:position w:val="6"/>
          <w:sz w:val="20"/>
        </w:rPr>
        <w:t>24</w:t>
      </w:r>
      <w:r>
        <w:rPr>
          <w:sz w:val="20"/>
        </w:rPr>
        <w:t>Ibid., 37.</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 xml:space="preserve">One may also use "op. cit." (Latin </w:t>
      </w:r>
      <w:r>
        <w:rPr>
          <w:sz w:val="20"/>
          <w:u w:val="single"/>
        </w:rPr>
        <w:t>opere citato</w:t>
      </w:r>
      <w:r>
        <w:rPr>
          <w:sz w:val="20"/>
        </w:rPr>
        <w:t xml:space="preserve">, "in the work cited") to refer to a previously cited book by a given author, and "loc. cit." (Latin </w:t>
      </w:r>
      <w:r>
        <w:rPr>
          <w:sz w:val="20"/>
          <w:u w:val="single"/>
        </w:rPr>
        <w:t>loco citato</w:t>
      </w:r>
      <w:r>
        <w:rPr>
          <w:sz w:val="20"/>
        </w:rPr>
        <w:t>, "in the pla</w:t>
      </w:r>
      <w:r>
        <w:rPr>
          <w:sz w:val="20"/>
        </w:rPr>
        <w:t>ce cited") to refer to a previously cited article:</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N</w:t>
      </w:r>
      <w:r>
        <w:rPr>
          <w:b/>
          <w:sz w:val="20"/>
        </w:rPr>
        <w:tab/>
      </w:r>
      <w:r>
        <w:rPr>
          <w:b/>
          <w:sz w:val="20"/>
        </w:rPr>
        <w:tab/>
      </w:r>
      <w:r>
        <w:rPr>
          <w:position w:val="6"/>
          <w:sz w:val="20"/>
        </w:rPr>
        <w:t>25</w:t>
      </w:r>
      <w:r>
        <w:rPr>
          <w:sz w:val="20"/>
        </w:rPr>
        <w:t xml:space="preserve">Arthur Waley, </w:t>
      </w:r>
      <w:r>
        <w:rPr>
          <w:sz w:val="20"/>
          <w:u w:val="single"/>
        </w:rPr>
        <w:t>The Analects of Confucius</w:t>
      </w:r>
      <w:r>
        <w:rPr>
          <w:sz w:val="20"/>
        </w:rPr>
        <w:t xml:space="preserve"> (London:  George Allen &amp; Unwin, 1938), 33.</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ab/>
      </w:r>
      <w:r>
        <w:rPr>
          <w:sz w:val="20"/>
        </w:rPr>
        <w:tab/>
      </w:r>
      <w:r>
        <w:rPr>
          <w:position w:val="6"/>
          <w:sz w:val="20"/>
        </w:rPr>
        <w:t>26</w:t>
      </w:r>
      <w:r>
        <w:rPr>
          <w:sz w:val="20"/>
        </w:rPr>
        <w:t>Richard Jackson, "Running Down the Up-Escalator:  Regional Inequality in Papua</w:t>
      </w:r>
    </w:p>
    <w:p w:rsidR="00000000" w:rsidRDefault="009B2D14">
      <w:pPr>
        <w:tabs>
          <w:tab w:val="left" w:pos="720"/>
          <w:tab w:val="left" w:pos="1080"/>
        </w:tabs>
        <w:ind w:right="18"/>
        <w:rPr>
          <w:sz w:val="20"/>
        </w:rPr>
      </w:pPr>
      <w:r>
        <w:rPr>
          <w:sz w:val="20"/>
        </w:rPr>
        <w:tab/>
        <w:t xml:space="preserve">New Guinea," </w:t>
      </w:r>
      <w:r>
        <w:rPr>
          <w:sz w:val="20"/>
          <w:u w:val="single"/>
        </w:rPr>
        <w:t>Australian Geograp</w:t>
      </w:r>
      <w:r>
        <w:rPr>
          <w:sz w:val="20"/>
          <w:u w:val="single"/>
        </w:rPr>
        <w:t>her</w:t>
      </w:r>
      <w:r>
        <w:rPr>
          <w:sz w:val="20"/>
        </w:rPr>
        <w:t>, 14 (May 1979), 180.</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ab/>
      </w:r>
      <w:r>
        <w:rPr>
          <w:sz w:val="20"/>
        </w:rPr>
        <w:tab/>
      </w:r>
      <w:r>
        <w:rPr>
          <w:position w:val="6"/>
          <w:sz w:val="20"/>
        </w:rPr>
        <w:t>27</w:t>
      </w:r>
      <w:r>
        <w:rPr>
          <w:sz w:val="20"/>
        </w:rPr>
        <w:t>Waley, op. cit., 37.</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ab/>
      </w:r>
      <w:r>
        <w:rPr>
          <w:sz w:val="20"/>
        </w:rPr>
        <w:tab/>
      </w:r>
      <w:r>
        <w:rPr>
          <w:position w:val="6"/>
          <w:sz w:val="20"/>
        </w:rPr>
        <w:t>28</w:t>
      </w:r>
      <w:r>
        <w:rPr>
          <w:sz w:val="20"/>
        </w:rPr>
        <w:t>Jackson, loc. cit., 178.</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Films, videos, and DVDs</w:t>
      </w:r>
    </w:p>
    <w:p w:rsidR="00000000" w:rsidRDefault="009B2D14">
      <w:pPr>
        <w:tabs>
          <w:tab w:val="left" w:pos="720"/>
          <w:tab w:val="left" w:pos="1080"/>
        </w:tabs>
        <w:ind w:right="18"/>
        <w:rPr>
          <w:sz w:val="20"/>
        </w:rPr>
      </w:pPr>
    </w:p>
    <w:p w:rsidR="00000000" w:rsidRDefault="009B2D14">
      <w:pPr>
        <w:widowControl w:val="0"/>
        <w:tabs>
          <w:tab w:val="left" w:pos="720"/>
          <w:tab w:val="left" w:pos="1080"/>
        </w:tabs>
        <w:autoSpaceDE w:val="0"/>
        <w:autoSpaceDN w:val="0"/>
        <w:adjustRightInd w:val="0"/>
        <w:rPr>
          <w:rFonts w:eastAsia="Times New Roman"/>
          <w:sz w:val="20"/>
        </w:rPr>
      </w:pPr>
      <w:r>
        <w:rPr>
          <w:b/>
          <w:sz w:val="20"/>
        </w:rPr>
        <w:t>NB</w:t>
      </w:r>
      <w:r>
        <w:rPr>
          <w:sz w:val="20"/>
        </w:rPr>
        <w:tab/>
      </w:r>
      <w:r>
        <w:rPr>
          <w:sz w:val="20"/>
        </w:rPr>
        <w:tab/>
      </w:r>
      <w:r>
        <w:rPr>
          <w:position w:val="6"/>
          <w:sz w:val="20"/>
        </w:rPr>
        <w:t>29</w:t>
      </w:r>
      <w:r>
        <w:rPr>
          <w:rFonts w:eastAsia="Times New Roman"/>
          <w:i/>
          <w:sz w:val="20"/>
        </w:rPr>
        <w:t>Itzak Perlman: In My Case Music</w:t>
      </w:r>
      <w:r>
        <w:rPr>
          <w:rFonts w:eastAsia="Times New Roman"/>
          <w:sz w:val="20"/>
        </w:rPr>
        <w:t>, prod. and dir. Tony DeNonno, 10 min., DeNonno Pix, 1985,</w:t>
      </w:r>
    </w:p>
    <w:p w:rsidR="00000000" w:rsidRDefault="009B2D14">
      <w:pPr>
        <w:widowControl w:val="0"/>
        <w:tabs>
          <w:tab w:val="left" w:pos="720"/>
          <w:tab w:val="left" w:pos="1080"/>
        </w:tabs>
        <w:autoSpaceDE w:val="0"/>
        <w:autoSpaceDN w:val="0"/>
        <w:adjustRightInd w:val="0"/>
        <w:rPr>
          <w:sz w:val="20"/>
        </w:rPr>
      </w:pPr>
      <w:r>
        <w:rPr>
          <w:rFonts w:eastAsia="Times New Roman"/>
          <w:sz w:val="20"/>
        </w:rPr>
        <w:tab/>
        <w:t>videocassette.</w:t>
      </w:r>
    </w:p>
    <w:p w:rsidR="00000000" w:rsidRDefault="009B2D14">
      <w:pPr>
        <w:tabs>
          <w:tab w:val="left" w:pos="720"/>
          <w:tab w:val="left" w:pos="1080"/>
        </w:tabs>
        <w:ind w:right="18"/>
        <w:rPr>
          <w:sz w:val="20"/>
        </w:rPr>
      </w:pPr>
    </w:p>
    <w:p w:rsidR="00000000" w:rsidRDefault="009B2D14">
      <w:pPr>
        <w:tabs>
          <w:tab w:val="left" w:pos="720"/>
          <w:tab w:val="left" w:pos="1080"/>
        </w:tabs>
        <w:ind w:right="18"/>
        <w:rPr>
          <w:b/>
          <w:sz w:val="20"/>
        </w:rPr>
      </w:pPr>
      <w:r>
        <w:rPr>
          <w:b/>
          <w:sz w:val="20"/>
        </w:rPr>
        <w:t>Electronic Sources</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sz w:val="20"/>
        </w:rPr>
        <w:t>Consensus on how</w:t>
      </w:r>
      <w:r>
        <w:rPr>
          <w:sz w:val="20"/>
        </w:rPr>
        <w:t xml:space="preserve"> to handle electronic sources has not fully emerged.  After consulting Andrew Harnack and Eugene Kleppinger, </w:t>
      </w:r>
      <w:r>
        <w:rPr>
          <w:sz w:val="20"/>
          <w:u w:val="single"/>
        </w:rPr>
        <w:t>Online!  A Reference Guide to Using internet Sources</w:t>
      </w:r>
      <w:r>
        <w:rPr>
          <w:sz w:val="20"/>
        </w:rPr>
        <w:t xml:space="preserve"> (Boston:  Bedford/St. Martin’s, 2000), it seems to me that the important information to includ</w:t>
      </w:r>
      <w:r>
        <w:rPr>
          <w:sz w:val="20"/>
        </w:rPr>
        <w:t>e in a citation of an e-mail message, a listserv posting, or a web site would be:</w:t>
      </w:r>
    </w:p>
    <w:p w:rsidR="00000000" w:rsidRDefault="009B2D14">
      <w:pPr>
        <w:tabs>
          <w:tab w:val="left" w:pos="360"/>
          <w:tab w:val="left" w:pos="720"/>
          <w:tab w:val="left" w:pos="1080"/>
        </w:tabs>
        <w:ind w:right="18"/>
        <w:rPr>
          <w:sz w:val="20"/>
        </w:rPr>
      </w:pPr>
      <w:r>
        <w:rPr>
          <w:sz w:val="20"/>
        </w:rPr>
        <w:tab/>
        <w:t>Author’s name</w:t>
      </w:r>
    </w:p>
    <w:p w:rsidR="00000000" w:rsidRDefault="009B2D14">
      <w:pPr>
        <w:tabs>
          <w:tab w:val="left" w:pos="360"/>
          <w:tab w:val="left" w:pos="720"/>
          <w:tab w:val="left" w:pos="1080"/>
        </w:tabs>
        <w:ind w:right="18"/>
        <w:rPr>
          <w:sz w:val="20"/>
        </w:rPr>
      </w:pPr>
      <w:r>
        <w:rPr>
          <w:sz w:val="20"/>
        </w:rPr>
        <w:tab/>
        <w:t>Subject line (for an email or listserv posting), in quotation marks</w:t>
      </w:r>
    </w:p>
    <w:p w:rsidR="00000000" w:rsidRDefault="009B2D14">
      <w:pPr>
        <w:tabs>
          <w:tab w:val="left" w:pos="360"/>
          <w:tab w:val="left" w:pos="720"/>
          <w:tab w:val="left" w:pos="1080"/>
        </w:tabs>
        <w:ind w:right="18"/>
        <w:rPr>
          <w:sz w:val="20"/>
        </w:rPr>
      </w:pPr>
      <w:r>
        <w:rPr>
          <w:sz w:val="20"/>
        </w:rPr>
        <w:tab/>
        <w:t>Title of document, in quotation marks</w:t>
      </w:r>
    </w:p>
    <w:p w:rsidR="00000000" w:rsidRDefault="009B2D14">
      <w:pPr>
        <w:tabs>
          <w:tab w:val="left" w:pos="360"/>
          <w:tab w:val="left" w:pos="720"/>
          <w:tab w:val="left" w:pos="1080"/>
        </w:tabs>
        <w:ind w:right="18"/>
        <w:rPr>
          <w:sz w:val="20"/>
        </w:rPr>
      </w:pPr>
      <w:r>
        <w:rPr>
          <w:sz w:val="20"/>
        </w:rPr>
        <w:tab/>
        <w:t>Title of complete work (if relevant), underlined</w:t>
      </w:r>
    </w:p>
    <w:p w:rsidR="00000000" w:rsidRDefault="009B2D14">
      <w:pPr>
        <w:tabs>
          <w:tab w:val="left" w:pos="360"/>
          <w:tab w:val="left" w:pos="720"/>
          <w:tab w:val="left" w:pos="1080"/>
        </w:tabs>
        <w:ind w:right="18"/>
        <w:rPr>
          <w:sz w:val="20"/>
        </w:rPr>
      </w:pPr>
      <w:r>
        <w:rPr>
          <w:sz w:val="20"/>
        </w:rPr>
        <w:tab/>
      </w:r>
      <w:r>
        <w:rPr>
          <w:sz w:val="20"/>
        </w:rPr>
        <w:t>Date of publication or last revision (for website), sending (for e-mail), or posting (listserv)</w:t>
      </w:r>
    </w:p>
    <w:p w:rsidR="00000000" w:rsidRDefault="009B2D14">
      <w:pPr>
        <w:tabs>
          <w:tab w:val="left" w:pos="360"/>
          <w:tab w:val="left" w:pos="720"/>
          <w:tab w:val="left" w:pos="1080"/>
        </w:tabs>
        <w:ind w:right="18"/>
        <w:rPr>
          <w:sz w:val="20"/>
        </w:rPr>
      </w:pPr>
      <w:r>
        <w:rPr>
          <w:sz w:val="20"/>
        </w:rPr>
        <w:tab/>
        <w:t>URL, e-mail address of sender, or listserv address, in angle brackets</w:t>
      </w:r>
    </w:p>
    <w:p w:rsidR="00000000" w:rsidRDefault="009B2D14">
      <w:pPr>
        <w:tabs>
          <w:tab w:val="left" w:pos="360"/>
          <w:tab w:val="left" w:pos="720"/>
          <w:tab w:val="left" w:pos="1080"/>
        </w:tabs>
        <w:ind w:right="18"/>
        <w:rPr>
          <w:sz w:val="20"/>
        </w:rPr>
      </w:pPr>
      <w:r>
        <w:rPr>
          <w:sz w:val="20"/>
        </w:rPr>
        <w:tab/>
        <w:t>Date of access, in parentheses</w:t>
      </w:r>
    </w:p>
    <w:p w:rsidR="00000000" w:rsidRDefault="009B2D14">
      <w:pPr>
        <w:tabs>
          <w:tab w:val="left" w:pos="720"/>
          <w:tab w:val="left" w:pos="1080"/>
        </w:tabs>
        <w:ind w:right="18"/>
        <w:rPr>
          <w:sz w:val="20"/>
        </w:rPr>
      </w:pPr>
      <w:r>
        <w:rPr>
          <w:sz w:val="20"/>
        </w:rPr>
        <w:t>In citing electronic sources, as in other citations, cons</w:t>
      </w:r>
      <w:r>
        <w:rPr>
          <w:sz w:val="20"/>
        </w:rPr>
        <w:t>istency and complete information are the twin goals.</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World Wide Web—Personal page</w:t>
      </w:r>
    </w:p>
    <w:p w:rsidR="00000000" w:rsidRDefault="009B2D14">
      <w:pPr>
        <w:tabs>
          <w:tab w:val="left" w:pos="720"/>
          <w:tab w:val="left" w:pos="1080"/>
        </w:tabs>
        <w:ind w:right="18"/>
        <w:rPr>
          <w:sz w:val="20"/>
        </w:rPr>
      </w:pPr>
    </w:p>
    <w:p w:rsidR="00000000" w:rsidRDefault="009B2D14">
      <w:pPr>
        <w:tabs>
          <w:tab w:val="left" w:pos="720"/>
          <w:tab w:val="left" w:pos="1080"/>
        </w:tabs>
        <w:ind w:left="720" w:right="18" w:hanging="720"/>
        <w:rPr>
          <w:sz w:val="20"/>
        </w:rPr>
      </w:pPr>
      <w:r>
        <w:rPr>
          <w:b/>
          <w:sz w:val="20"/>
        </w:rPr>
        <w:t>N</w:t>
      </w:r>
      <w:r>
        <w:rPr>
          <w:sz w:val="20"/>
        </w:rPr>
        <w:tab/>
      </w:r>
      <w:r>
        <w:rPr>
          <w:sz w:val="20"/>
        </w:rPr>
        <w:tab/>
      </w:r>
      <w:r>
        <w:rPr>
          <w:sz w:val="20"/>
          <w:vertAlign w:val="superscript"/>
        </w:rPr>
        <w:t>30</w:t>
      </w:r>
      <w:r>
        <w:rPr>
          <w:sz w:val="20"/>
        </w:rPr>
        <w:t>Joseph Pelligrino, “Homepage,” May 12, 1999, &lt;http://www.english.eku.edu/pelligrino/default.htm&gt; (October 1, 1999).</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B</w:t>
      </w:r>
      <w:r>
        <w:rPr>
          <w:sz w:val="20"/>
        </w:rPr>
        <w:tab/>
        <w:t xml:space="preserve">Pelligrino, Joseph.  “Homepage.”  May 12, 1999. </w:t>
      </w:r>
      <w:r>
        <w:rPr>
          <w:sz w:val="20"/>
        </w:rPr>
        <w:t xml:space="preserve"> &lt;http://www.english.eku.edu/pelligrino </w:t>
      </w:r>
    </w:p>
    <w:p w:rsidR="00000000" w:rsidRDefault="009B2D14">
      <w:pPr>
        <w:tabs>
          <w:tab w:val="left" w:pos="720"/>
          <w:tab w:val="left" w:pos="1080"/>
        </w:tabs>
        <w:ind w:right="18"/>
        <w:rPr>
          <w:sz w:val="20"/>
        </w:rPr>
      </w:pPr>
      <w:r>
        <w:rPr>
          <w:sz w:val="20"/>
        </w:rPr>
        <w:tab/>
      </w:r>
      <w:r>
        <w:rPr>
          <w:sz w:val="20"/>
        </w:rPr>
        <w:tab/>
        <w:t>/default.htm&gt; (October 1, 1999).</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World Wide Web—Professional site</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N</w:t>
      </w:r>
      <w:r>
        <w:rPr>
          <w:sz w:val="20"/>
        </w:rPr>
        <w:tab/>
      </w:r>
      <w:r>
        <w:rPr>
          <w:sz w:val="20"/>
        </w:rPr>
        <w:tab/>
      </w:r>
      <w:r>
        <w:rPr>
          <w:sz w:val="20"/>
          <w:vertAlign w:val="superscript"/>
        </w:rPr>
        <w:t>31</w:t>
      </w:r>
      <w:r>
        <w:rPr>
          <w:sz w:val="20"/>
        </w:rPr>
        <w:t xml:space="preserve">Gail Mortimer, </w:t>
      </w:r>
      <w:r>
        <w:rPr>
          <w:sz w:val="20"/>
          <w:u w:val="single"/>
        </w:rPr>
        <w:t>The William Faulkner Society Home Page</w:t>
      </w:r>
      <w:r>
        <w:rPr>
          <w:sz w:val="20"/>
        </w:rPr>
        <w:t>, September 16, 1999,</w:t>
      </w:r>
    </w:p>
    <w:p w:rsidR="00000000" w:rsidRDefault="009B2D14">
      <w:pPr>
        <w:tabs>
          <w:tab w:val="left" w:pos="720"/>
          <w:tab w:val="left" w:pos="1080"/>
        </w:tabs>
        <w:ind w:right="18"/>
        <w:rPr>
          <w:sz w:val="20"/>
        </w:rPr>
      </w:pPr>
      <w:r>
        <w:rPr>
          <w:sz w:val="20"/>
        </w:rPr>
        <w:tab/>
        <w:t>&lt;http://</w:t>
      </w:r>
      <w:hyperlink r:id="rId7" w:history="1">
        <w:r>
          <w:rPr>
            <w:rStyle w:val="Hyperlink"/>
            <w:sz w:val="20"/>
          </w:rPr>
          <w:t>www.utep.edu/mortimer/faulkner/mainfaulkner.htm</w:t>
        </w:r>
      </w:hyperlink>
      <w:r>
        <w:rPr>
          <w:sz w:val="20"/>
        </w:rPr>
        <w:t>&gt;  (October 1, 1999).</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B</w:t>
      </w:r>
      <w:r>
        <w:rPr>
          <w:sz w:val="20"/>
        </w:rPr>
        <w:tab/>
        <w:t xml:space="preserve">Mortimer, Gail.  </w:t>
      </w:r>
      <w:r>
        <w:rPr>
          <w:sz w:val="20"/>
          <w:u w:val="single"/>
        </w:rPr>
        <w:t>The William Faulkner Society Home Page</w:t>
      </w:r>
      <w:r>
        <w:rPr>
          <w:sz w:val="20"/>
        </w:rPr>
        <w:t>.  September 16, 1999.</w:t>
      </w:r>
    </w:p>
    <w:p w:rsidR="00000000" w:rsidRDefault="009B2D14">
      <w:pPr>
        <w:tabs>
          <w:tab w:val="left" w:pos="720"/>
          <w:tab w:val="left" w:pos="1080"/>
        </w:tabs>
        <w:ind w:right="18"/>
        <w:rPr>
          <w:sz w:val="20"/>
        </w:rPr>
      </w:pPr>
      <w:r>
        <w:rPr>
          <w:sz w:val="20"/>
        </w:rPr>
        <w:lastRenderedPageBreak/>
        <w:tab/>
      </w:r>
      <w:r>
        <w:rPr>
          <w:sz w:val="20"/>
        </w:rPr>
        <w:tab/>
        <w:t>&lt;http://</w:t>
      </w:r>
      <w:hyperlink r:id="rId8" w:history="1">
        <w:r>
          <w:rPr>
            <w:rStyle w:val="Hyperlink"/>
            <w:sz w:val="20"/>
          </w:rPr>
          <w:t>www.utep.edu/</w:t>
        </w:r>
        <w:r>
          <w:rPr>
            <w:rStyle w:val="Hyperlink"/>
            <w:sz w:val="20"/>
          </w:rPr>
          <w:t>mortimer/faulkner/mainfaulkner.htm</w:t>
        </w:r>
      </w:hyperlink>
      <w:r>
        <w:rPr>
          <w:sz w:val="20"/>
        </w:rPr>
        <w:t>&gt;  (October 1, 1999).</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Email message</w:t>
      </w:r>
    </w:p>
    <w:p w:rsidR="00000000" w:rsidRDefault="009B2D14">
      <w:pPr>
        <w:tabs>
          <w:tab w:val="left" w:pos="720"/>
          <w:tab w:val="left" w:pos="1080"/>
        </w:tabs>
        <w:ind w:right="18"/>
        <w:rPr>
          <w:sz w:val="20"/>
        </w:rPr>
      </w:pPr>
    </w:p>
    <w:p w:rsidR="00000000" w:rsidRDefault="009B2D14">
      <w:pPr>
        <w:tabs>
          <w:tab w:val="left" w:pos="720"/>
          <w:tab w:val="left" w:pos="1080"/>
        </w:tabs>
        <w:ind w:right="18"/>
        <w:rPr>
          <w:sz w:val="20"/>
        </w:rPr>
      </w:pPr>
      <w:r>
        <w:rPr>
          <w:b/>
          <w:sz w:val="20"/>
        </w:rPr>
        <w:t>N</w:t>
      </w:r>
      <w:r>
        <w:rPr>
          <w:sz w:val="20"/>
        </w:rPr>
        <w:tab/>
      </w:r>
      <w:r>
        <w:rPr>
          <w:sz w:val="20"/>
        </w:rPr>
        <w:tab/>
      </w:r>
      <w:r>
        <w:rPr>
          <w:sz w:val="20"/>
          <w:vertAlign w:val="superscript"/>
        </w:rPr>
        <w:t>32</w:t>
      </w:r>
      <w:r>
        <w:rPr>
          <w:sz w:val="20"/>
        </w:rPr>
        <w:t>Danny Robinette, “Epiphany Project,” April 30, 1999, office communication (May</w:t>
      </w:r>
    </w:p>
    <w:p w:rsidR="00000000" w:rsidRDefault="009B2D14">
      <w:pPr>
        <w:tabs>
          <w:tab w:val="left" w:pos="720"/>
          <w:tab w:val="left" w:pos="1080"/>
        </w:tabs>
        <w:ind w:right="18"/>
        <w:rPr>
          <w:sz w:val="20"/>
        </w:rPr>
      </w:pPr>
      <w:r>
        <w:rPr>
          <w:sz w:val="20"/>
        </w:rPr>
        <w:tab/>
        <w:t>29, 1999).</w:t>
      </w:r>
    </w:p>
    <w:p w:rsidR="00000000" w:rsidRDefault="009B2D14">
      <w:pPr>
        <w:tabs>
          <w:tab w:val="left" w:pos="720"/>
          <w:tab w:val="left" w:pos="1080"/>
        </w:tabs>
        <w:ind w:right="18"/>
        <w:rPr>
          <w:sz w:val="20"/>
        </w:rPr>
      </w:pPr>
    </w:p>
    <w:p w:rsidR="00000000" w:rsidRDefault="009B2D14">
      <w:pPr>
        <w:tabs>
          <w:tab w:val="left" w:pos="720"/>
          <w:tab w:val="left" w:pos="1080"/>
        </w:tabs>
        <w:ind w:left="720" w:right="18" w:hanging="720"/>
        <w:rPr>
          <w:sz w:val="20"/>
        </w:rPr>
      </w:pPr>
      <w:r>
        <w:rPr>
          <w:b/>
          <w:sz w:val="20"/>
        </w:rPr>
        <w:t>B</w:t>
      </w:r>
      <w:r>
        <w:rPr>
          <w:sz w:val="20"/>
        </w:rPr>
        <w:tab/>
        <w:t xml:space="preserve">Robinette, Danny.  “Epiphany Project.”  April 30, 1999, office communication.  (May </w:t>
      </w:r>
      <w:r>
        <w:rPr>
          <w:sz w:val="20"/>
        </w:rPr>
        <w:t>29,</w:t>
      </w:r>
    </w:p>
    <w:p w:rsidR="00000000" w:rsidRDefault="009B2D14">
      <w:pPr>
        <w:tabs>
          <w:tab w:val="left" w:pos="720"/>
          <w:tab w:val="left" w:pos="1080"/>
        </w:tabs>
        <w:ind w:left="720" w:right="18" w:hanging="720"/>
        <w:rPr>
          <w:sz w:val="20"/>
        </w:rPr>
      </w:pPr>
      <w:r>
        <w:rPr>
          <w:sz w:val="20"/>
        </w:rPr>
        <w:tab/>
      </w:r>
      <w:r>
        <w:rPr>
          <w:sz w:val="20"/>
        </w:rPr>
        <w:tab/>
        <w:t>1999).</w:t>
      </w:r>
    </w:p>
    <w:p w:rsidR="00000000" w:rsidRDefault="009B2D14">
      <w:pPr>
        <w:tabs>
          <w:tab w:val="left" w:pos="720"/>
          <w:tab w:val="left" w:pos="1080"/>
        </w:tabs>
        <w:ind w:left="720" w:right="18" w:hanging="720"/>
        <w:rPr>
          <w:sz w:val="20"/>
        </w:rPr>
      </w:pPr>
    </w:p>
    <w:p w:rsidR="00000000" w:rsidRDefault="009B2D14">
      <w:pPr>
        <w:tabs>
          <w:tab w:val="left" w:pos="720"/>
          <w:tab w:val="left" w:pos="1080"/>
        </w:tabs>
        <w:ind w:left="720" w:right="18" w:hanging="720"/>
        <w:rPr>
          <w:sz w:val="20"/>
        </w:rPr>
      </w:pPr>
      <w:r>
        <w:rPr>
          <w:b/>
          <w:sz w:val="20"/>
        </w:rPr>
        <w:t>Listserv message</w:t>
      </w:r>
    </w:p>
    <w:p w:rsidR="00000000" w:rsidRDefault="009B2D14">
      <w:pPr>
        <w:tabs>
          <w:tab w:val="left" w:pos="720"/>
          <w:tab w:val="left" w:pos="1080"/>
        </w:tabs>
        <w:ind w:left="720" w:right="18" w:hanging="720"/>
        <w:rPr>
          <w:sz w:val="20"/>
        </w:rPr>
      </w:pPr>
    </w:p>
    <w:p w:rsidR="00000000" w:rsidRDefault="009B2D14">
      <w:pPr>
        <w:tabs>
          <w:tab w:val="left" w:pos="720"/>
          <w:tab w:val="left" w:pos="1080"/>
        </w:tabs>
        <w:ind w:left="720" w:right="18" w:hanging="720"/>
        <w:rPr>
          <w:sz w:val="20"/>
        </w:rPr>
      </w:pPr>
      <w:r>
        <w:rPr>
          <w:b/>
          <w:sz w:val="20"/>
        </w:rPr>
        <w:t>N</w:t>
      </w:r>
      <w:r>
        <w:rPr>
          <w:sz w:val="20"/>
        </w:rPr>
        <w:tab/>
      </w:r>
      <w:r>
        <w:rPr>
          <w:sz w:val="20"/>
        </w:rPr>
        <w:tab/>
      </w:r>
      <w:r>
        <w:rPr>
          <w:sz w:val="20"/>
          <w:vertAlign w:val="superscript"/>
        </w:rPr>
        <w:t>33</w:t>
      </w:r>
      <w:r>
        <w:rPr>
          <w:sz w:val="20"/>
        </w:rPr>
        <w:t>Victor Parente, “On Expectations of Class Participation,” May 27, 1996,</w:t>
      </w:r>
    </w:p>
    <w:p w:rsidR="00000000" w:rsidRDefault="009B2D14">
      <w:pPr>
        <w:tabs>
          <w:tab w:val="left" w:pos="720"/>
          <w:tab w:val="left" w:pos="1080"/>
        </w:tabs>
        <w:ind w:left="720" w:right="18" w:hanging="720"/>
        <w:rPr>
          <w:sz w:val="20"/>
        </w:rPr>
      </w:pPr>
      <w:r>
        <w:rPr>
          <w:sz w:val="20"/>
        </w:rPr>
        <w:tab/>
        <w:t>&lt;</w:t>
      </w:r>
      <w:hyperlink r:id="rId9" w:history="1">
        <w:r>
          <w:rPr>
            <w:rStyle w:val="Hyperlink"/>
            <w:sz w:val="20"/>
          </w:rPr>
          <w:t>philosed@sued.syr.edu</w:t>
        </w:r>
      </w:hyperlink>
      <w:r>
        <w:rPr>
          <w:sz w:val="20"/>
        </w:rPr>
        <w:t>&gt; (May 29, 1996).</w:t>
      </w:r>
    </w:p>
    <w:p w:rsidR="00000000" w:rsidRDefault="009B2D14">
      <w:pPr>
        <w:tabs>
          <w:tab w:val="left" w:pos="720"/>
          <w:tab w:val="left" w:pos="1080"/>
        </w:tabs>
        <w:ind w:left="720" w:right="18" w:hanging="720"/>
        <w:rPr>
          <w:sz w:val="20"/>
        </w:rPr>
      </w:pPr>
    </w:p>
    <w:p w:rsidR="00000000" w:rsidRDefault="009B2D14">
      <w:pPr>
        <w:tabs>
          <w:tab w:val="left" w:pos="720"/>
          <w:tab w:val="left" w:pos="1080"/>
        </w:tabs>
        <w:ind w:left="720" w:right="18" w:hanging="720"/>
        <w:rPr>
          <w:sz w:val="20"/>
        </w:rPr>
      </w:pPr>
      <w:r>
        <w:rPr>
          <w:b/>
          <w:sz w:val="20"/>
        </w:rPr>
        <w:t>B</w:t>
      </w:r>
      <w:r>
        <w:rPr>
          <w:sz w:val="20"/>
        </w:rPr>
        <w:tab/>
        <w:t>Parente, Victor.  “On Expectations of Class Participation</w:t>
      </w:r>
      <w:r>
        <w:rPr>
          <w:sz w:val="20"/>
        </w:rPr>
        <w:t>.”  May 27, 1996.</w:t>
      </w:r>
    </w:p>
    <w:p w:rsidR="00000000" w:rsidRDefault="009B2D14">
      <w:pPr>
        <w:tabs>
          <w:tab w:val="left" w:pos="720"/>
          <w:tab w:val="left" w:pos="1080"/>
        </w:tabs>
        <w:ind w:left="720" w:right="18" w:hanging="720"/>
        <w:rPr>
          <w:b/>
          <w:sz w:val="20"/>
        </w:rPr>
      </w:pPr>
      <w:r>
        <w:rPr>
          <w:sz w:val="20"/>
        </w:rPr>
        <w:tab/>
      </w:r>
      <w:r>
        <w:rPr>
          <w:sz w:val="20"/>
        </w:rPr>
        <w:tab/>
        <w:t>&lt;</w:t>
      </w:r>
      <w:hyperlink r:id="rId10" w:history="1">
        <w:r>
          <w:rPr>
            <w:rStyle w:val="Hyperlink"/>
            <w:sz w:val="20"/>
          </w:rPr>
          <w:t>philosed@sued.syr.edu</w:t>
        </w:r>
      </w:hyperlink>
      <w:r>
        <w:rPr>
          <w:sz w:val="20"/>
        </w:rPr>
        <w:t>&gt; (May 29, 1996).</w:t>
      </w:r>
    </w:p>
    <w:p w:rsidR="00000000" w:rsidRDefault="009B2D14"/>
    <w:sectPr w:rsidR="00000000">
      <w:headerReference w:type="even" r:id="rId11"/>
      <w:headerReference w:type="default" r:id="rId12"/>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D14">
      <w:r>
        <w:separator/>
      </w:r>
    </w:p>
  </w:endnote>
  <w:endnote w:type="continuationSeparator" w:id="0">
    <w:p w:rsidR="00000000" w:rsidRDefault="009B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D14">
      <w:r>
        <w:separator/>
      </w:r>
    </w:p>
  </w:footnote>
  <w:footnote w:type="continuationSeparator" w:id="0">
    <w:p w:rsidR="00000000" w:rsidRDefault="009B2D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D14">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00000" w:rsidRDefault="009B2D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D14">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00000" w:rsidRDefault="009B2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14"/>
    <w:rsid w:val="009B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Header">
    <w:name w:val="header"/>
    <w:basedOn w:val="Normal"/>
    <w:pPr>
      <w:tabs>
        <w:tab w:val="center" w:pos="4320"/>
        <w:tab w:val="right" w:pos="8640"/>
      </w:tabs>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Header">
    <w:name w:val="header"/>
    <w:basedOn w:val="Normal"/>
    <w:pPr>
      <w:tabs>
        <w:tab w:val="center" w:pos="4320"/>
        <w:tab w:val="right" w:pos="864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tep.edu/mortimer/faulkner/mainfaulkner.htm" TargetMode="External"/><Relationship Id="rId8" Type="http://schemas.openxmlformats.org/officeDocument/2006/relationships/hyperlink" Target="http://www.utep.edu/mortimer/faulkner/mainfaulkner.htm" TargetMode="External"/><Relationship Id="rId9" Type="http://schemas.openxmlformats.org/officeDocument/2006/relationships/hyperlink" Target="mailto:philosed@sued.syr.edu" TargetMode="External"/><Relationship Id="rId10" Type="http://schemas.openxmlformats.org/officeDocument/2006/relationships/hyperlink" Target="mailto:philosed@sued.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11006</Characters>
  <Application>Microsoft Macintosh Word</Application>
  <DocSecurity>0</DocSecurity>
  <Lines>169</Lines>
  <Paragraphs>26</Paragraphs>
  <ScaleCrop>false</ScaleCrop>
  <HeadingPairs>
    <vt:vector size="2" baseType="variant">
      <vt:variant>
        <vt:lpstr>Title</vt:lpstr>
      </vt:variant>
      <vt:variant>
        <vt:i4>1</vt:i4>
      </vt:variant>
    </vt:vector>
  </HeadingPairs>
  <TitlesOfParts>
    <vt:vector size="1" baseType="lpstr">
      <vt:lpstr>Sample Endnotes and Bibliography</vt:lpstr>
    </vt:vector>
  </TitlesOfParts>
  <Company/>
  <LinksUpToDate>false</LinksUpToDate>
  <CharactersWithSpaces>13137</CharactersWithSpaces>
  <SharedDoc>false</SharedDoc>
  <HLinks>
    <vt:vector size="24" baseType="variant">
      <vt:variant>
        <vt:i4>5374001</vt:i4>
      </vt:variant>
      <vt:variant>
        <vt:i4>9</vt:i4>
      </vt:variant>
      <vt:variant>
        <vt:i4>0</vt:i4>
      </vt:variant>
      <vt:variant>
        <vt:i4>5</vt:i4>
      </vt:variant>
      <vt:variant>
        <vt:lpwstr>mailto:philosed@sued.syr.edu</vt:lpwstr>
      </vt:variant>
      <vt:variant>
        <vt:lpwstr/>
      </vt:variant>
      <vt:variant>
        <vt:i4>5374001</vt:i4>
      </vt:variant>
      <vt:variant>
        <vt:i4>6</vt:i4>
      </vt:variant>
      <vt:variant>
        <vt:i4>0</vt:i4>
      </vt:variant>
      <vt:variant>
        <vt:i4>5</vt:i4>
      </vt:variant>
      <vt:variant>
        <vt:lpwstr>mailto:philosed@sued.syr.edu</vt:lpwstr>
      </vt:variant>
      <vt:variant>
        <vt:lpwstr/>
      </vt:variant>
      <vt:variant>
        <vt:i4>2752627</vt:i4>
      </vt:variant>
      <vt:variant>
        <vt:i4>3</vt:i4>
      </vt:variant>
      <vt:variant>
        <vt:i4>0</vt:i4>
      </vt:variant>
      <vt:variant>
        <vt:i4>5</vt:i4>
      </vt:variant>
      <vt:variant>
        <vt:lpwstr>http://www.utep.edu/mortimer/faulkner/mainfaulkner.htm</vt:lpwstr>
      </vt:variant>
      <vt:variant>
        <vt:lpwstr/>
      </vt:variant>
      <vt:variant>
        <vt:i4>2752627</vt:i4>
      </vt:variant>
      <vt:variant>
        <vt:i4>0</vt:i4>
      </vt:variant>
      <vt:variant>
        <vt:i4>0</vt:i4>
      </vt:variant>
      <vt:variant>
        <vt:i4>5</vt:i4>
      </vt:variant>
      <vt:variant>
        <vt:lpwstr>http://www.utep.edu/mortimer/faulkner/mainfaulkner.htm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Endnotes and Bibliography</dc:title>
  <dc:subject/>
  <dc:creator>USer Histry</dc:creator>
  <cp:keywords/>
  <cp:lastModifiedBy>USer Histry</cp:lastModifiedBy>
  <cp:revision>2</cp:revision>
  <dcterms:created xsi:type="dcterms:W3CDTF">2014-03-28T22:21:00Z</dcterms:created>
  <dcterms:modified xsi:type="dcterms:W3CDTF">2014-03-28T22:21:00Z</dcterms:modified>
</cp:coreProperties>
</file>