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23ADA" w14:textId="56958EC3" w:rsidR="001D40EF" w:rsidRPr="005414F2" w:rsidRDefault="00127177" w:rsidP="00581F2A">
      <w:pPr>
        <w:jc w:val="center"/>
        <w:rPr>
          <w:b/>
        </w:rPr>
      </w:pPr>
      <w:r w:rsidRPr="005414F2">
        <w:rPr>
          <w:b/>
        </w:rPr>
        <w:t>History 202</w:t>
      </w:r>
      <w:r w:rsidR="00DB65E1" w:rsidRPr="005414F2">
        <w:rPr>
          <w:b/>
        </w:rPr>
        <w:t xml:space="preserve">: Historical </w:t>
      </w:r>
      <w:bookmarkStart w:id="0" w:name="_GoBack"/>
      <w:bookmarkEnd w:id="0"/>
      <w:r w:rsidR="00DB65E1" w:rsidRPr="005414F2">
        <w:rPr>
          <w:b/>
        </w:rPr>
        <w:t>Methods</w:t>
      </w:r>
    </w:p>
    <w:p w14:paraId="5309FDB6" w14:textId="77777777" w:rsidR="00581F2A" w:rsidRPr="009F7FF6" w:rsidRDefault="00581F2A" w:rsidP="00581F2A">
      <w:pPr>
        <w:jc w:val="center"/>
        <w:rPr>
          <w:rFonts w:cs="Times New Roman"/>
        </w:rPr>
      </w:pPr>
    </w:p>
    <w:p w14:paraId="4544168D" w14:textId="77777777" w:rsidR="00581F2A" w:rsidRPr="009F7FF6" w:rsidRDefault="00581F2A" w:rsidP="00581F2A">
      <w:pPr>
        <w:rPr>
          <w:rFonts w:cs="Times New Roman"/>
        </w:rPr>
      </w:pPr>
      <w:r w:rsidRPr="009F7FF6">
        <w:rPr>
          <w:rFonts w:cs="Times New Roman"/>
        </w:rPr>
        <w:t>Professor Sherene Seikaly</w:t>
      </w:r>
      <w:r w:rsidRPr="009F7FF6">
        <w:rPr>
          <w:rFonts w:cs="Times New Roman"/>
        </w:rPr>
        <w:tab/>
      </w:r>
      <w:r w:rsidRPr="009F7FF6">
        <w:rPr>
          <w:rFonts w:cs="Times New Roman"/>
        </w:rPr>
        <w:tab/>
      </w:r>
      <w:r w:rsidRPr="009F7FF6">
        <w:rPr>
          <w:rFonts w:cs="Times New Roman"/>
        </w:rPr>
        <w:tab/>
      </w:r>
      <w:r w:rsidRPr="009F7FF6">
        <w:rPr>
          <w:rFonts w:cs="Times New Roman"/>
        </w:rPr>
        <w:tab/>
      </w:r>
      <w:r w:rsidRPr="009F7FF6">
        <w:rPr>
          <w:rFonts w:cs="Times New Roman"/>
        </w:rPr>
        <w:tab/>
      </w:r>
      <w:r w:rsidRPr="009F7FF6">
        <w:rPr>
          <w:rFonts w:cs="Times New Roman"/>
        </w:rPr>
        <w:tab/>
        <w:t xml:space="preserve">           Winter 2016</w:t>
      </w:r>
    </w:p>
    <w:p w14:paraId="60220426" w14:textId="77777777" w:rsidR="00581F2A" w:rsidRPr="009F7FF6" w:rsidRDefault="00631D8E" w:rsidP="00581F2A">
      <w:pPr>
        <w:rPr>
          <w:rFonts w:cs="Times New Roman"/>
        </w:rPr>
      </w:pPr>
      <w:hyperlink r:id="rId6" w:history="1">
        <w:r w:rsidR="00581F2A" w:rsidRPr="009F7FF6">
          <w:rPr>
            <w:rStyle w:val="Hyperlink"/>
            <w:rFonts w:cs="Times New Roman"/>
          </w:rPr>
          <w:t>sseikaly@history.ucsb.edu</w:t>
        </w:r>
      </w:hyperlink>
      <w:r w:rsidR="00581F2A" w:rsidRPr="009F7FF6">
        <w:rPr>
          <w:rFonts w:cs="Times New Roman"/>
        </w:rPr>
        <w:tab/>
      </w:r>
      <w:r w:rsidR="00581F2A" w:rsidRPr="009F7FF6">
        <w:rPr>
          <w:rFonts w:cs="Times New Roman"/>
        </w:rPr>
        <w:tab/>
      </w:r>
      <w:r w:rsidR="00581F2A" w:rsidRPr="009F7FF6">
        <w:rPr>
          <w:rFonts w:cs="Times New Roman"/>
        </w:rPr>
        <w:tab/>
      </w:r>
      <w:r w:rsidR="00581F2A" w:rsidRPr="009F7FF6">
        <w:rPr>
          <w:rFonts w:cs="Times New Roman"/>
        </w:rPr>
        <w:tab/>
      </w:r>
      <w:r w:rsidR="00581F2A" w:rsidRPr="009F7FF6">
        <w:rPr>
          <w:rFonts w:cs="Times New Roman"/>
        </w:rPr>
        <w:tab/>
      </w:r>
      <w:r w:rsidR="00581F2A" w:rsidRPr="009F7FF6">
        <w:rPr>
          <w:rFonts w:cs="Times New Roman"/>
        </w:rPr>
        <w:tab/>
        <w:t xml:space="preserve">           Monday 3-5:50</w:t>
      </w:r>
    </w:p>
    <w:p w14:paraId="14061959" w14:textId="1A1E37F5" w:rsidR="00581F2A" w:rsidRPr="009F7FF6" w:rsidRDefault="00621861" w:rsidP="00581F2A">
      <w:pPr>
        <w:rPr>
          <w:rFonts w:cs="Times New Roman"/>
        </w:rPr>
      </w:pPr>
      <w:r>
        <w:rPr>
          <w:rFonts w:cs="Times New Roman"/>
        </w:rPr>
        <w:t>Office Hours: Tuesday 12-2</w:t>
      </w:r>
      <w:r w:rsidR="00581F2A" w:rsidRPr="009F7FF6">
        <w:rPr>
          <w:rFonts w:cs="Times New Roman"/>
        </w:rPr>
        <w:t xml:space="preserve"> </w:t>
      </w:r>
      <w:r w:rsidR="00581F2A" w:rsidRPr="009F7FF6">
        <w:rPr>
          <w:rFonts w:cs="Times New Roman"/>
        </w:rPr>
        <w:tab/>
      </w:r>
      <w:r w:rsidR="00581F2A" w:rsidRPr="009F7FF6">
        <w:rPr>
          <w:rFonts w:cs="Times New Roman"/>
        </w:rPr>
        <w:tab/>
      </w:r>
      <w:r w:rsidR="00581F2A" w:rsidRPr="009F7FF6">
        <w:rPr>
          <w:rFonts w:cs="Times New Roman"/>
        </w:rPr>
        <w:tab/>
      </w:r>
      <w:r w:rsidR="00581F2A" w:rsidRPr="009F7FF6">
        <w:rPr>
          <w:rFonts w:cs="Times New Roman"/>
        </w:rPr>
        <w:tab/>
      </w:r>
      <w:r w:rsidR="00581F2A" w:rsidRPr="009F7FF6">
        <w:rPr>
          <w:rFonts w:cs="Times New Roman"/>
        </w:rPr>
        <w:tab/>
        <w:t xml:space="preserve">           </w:t>
      </w:r>
      <w:r w:rsidR="00581F2A" w:rsidRPr="009F7FF6">
        <w:rPr>
          <w:rFonts w:cs="Times New Roman"/>
        </w:rPr>
        <w:tab/>
        <w:t xml:space="preserve">           HSSB 4041</w:t>
      </w:r>
    </w:p>
    <w:p w14:paraId="49072241" w14:textId="77777777" w:rsidR="00581F2A" w:rsidRPr="009F7FF6" w:rsidRDefault="00581F2A" w:rsidP="00581F2A">
      <w:pPr>
        <w:rPr>
          <w:rFonts w:cs="Times New Roman"/>
        </w:rPr>
      </w:pPr>
      <w:r w:rsidRPr="009F7FF6">
        <w:rPr>
          <w:rFonts w:cs="Times New Roman"/>
        </w:rPr>
        <w:t xml:space="preserve">Office: HSSB 4223        </w:t>
      </w:r>
    </w:p>
    <w:p w14:paraId="4642975F" w14:textId="77777777" w:rsidR="00581F2A" w:rsidRDefault="00581F2A" w:rsidP="00D03D47">
      <w:pPr>
        <w:jc w:val="center"/>
        <w:rPr>
          <w:u w:val="single"/>
        </w:rPr>
      </w:pPr>
    </w:p>
    <w:p w14:paraId="144315AF" w14:textId="7629E51F" w:rsidR="00A800F9" w:rsidRDefault="00A800F9" w:rsidP="00A800F9">
      <w:r>
        <w:t>What is the discipline of history? Why does it matter? What is the difference between historical fact and artifact? How does narrative influence the making, writing, and teaching of history? What are the conceptual and political stakes of historical work? What is the</w:t>
      </w:r>
      <w:r w:rsidR="00A03F94">
        <w:t xml:space="preserve"> task of historian</w:t>
      </w:r>
      <w:r>
        <w:t xml:space="preserve">s? How does history help us think about difference? </w:t>
      </w:r>
      <w:r w:rsidR="00096668">
        <w:t xml:space="preserve">How can we understand classed, colonized, racialized, and gendered subjects as historically constituted? </w:t>
      </w:r>
      <w:r>
        <w:t xml:space="preserve">How </w:t>
      </w:r>
      <w:r w:rsidR="00A03F94">
        <w:t>do historians</w:t>
      </w:r>
      <w:r w:rsidR="001C658E">
        <w:t xml:space="preserve"> take part in, </w:t>
      </w:r>
      <w:r>
        <w:t>reflect</w:t>
      </w:r>
      <w:r w:rsidR="001C658E">
        <w:t>, or interrupt</w:t>
      </w:r>
      <w:r>
        <w:t xml:space="preserve"> regimes of knowledge and power? </w:t>
      </w:r>
    </w:p>
    <w:p w14:paraId="21D78A09" w14:textId="77777777" w:rsidR="00A800F9" w:rsidRDefault="00A800F9" w:rsidP="00A800F9"/>
    <w:p w14:paraId="31C99D4A" w14:textId="31773419" w:rsidR="00A800F9" w:rsidRDefault="001C658E" w:rsidP="00A800F9">
      <w:r>
        <w:t>We</w:t>
      </w:r>
      <w:r w:rsidR="00A800F9">
        <w:t xml:space="preserve"> will be addressing</w:t>
      </w:r>
      <w:r>
        <w:t xml:space="preserve"> these questions</w:t>
      </w:r>
      <w:r w:rsidR="00A800F9">
        <w:t xml:space="preserve"> in the </w:t>
      </w:r>
      <w:r>
        <w:t>coming ten weeks</w:t>
      </w:r>
      <w:r w:rsidR="00A800F9">
        <w:t xml:space="preserve">. Our goal is to learn about the essential readings in various historiographic schools. We will </w:t>
      </w:r>
      <w:r w:rsidR="00096668">
        <w:t xml:space="preserve">approach these texts with critical humility: </w:t>
      </w:r>
      <w:r w:rsidR="00A800F9">
        <w:t>r</w:t>
      </w:r>
      <w:r w:rsidR="00096668">
        <w:t>eading in order to chart each of these scholars’ contributions, what they allow us to see, and how they open possibilities for new questions. Throughout, we will engage each of your research questions and projects t</w:t>
      </w:r>
      <w:r w:rsidR="001918C7">
        <w:t xml:space="preserve">o think about what is at stake, </w:t>
      </w:r>
      <w:r w:rsidR="00096668">
        <w:t>empirically, methodologically, and theoretically, in what we do as students and teachers of history.</w:t>
      </w:r>
    </w:p>
    <w:p w14:paraId="45167BB9" w14:textId="77777777" w:rsidR="001C658E" w:rsidRPr="00A800F9" w:rsidRDefault="001C658E" w:rsidP="00A800F9"/>
    <w:p w14:paraId="188481A1" w14:textId="77777777" w:rsidR="00A800F9" w:rsidRDefault="00A800F9" w:rsidP="00A800F9">
      <w:pPr>
        <w:jc w:val="center"/>
        <w:outlineLvl w:val="0"/>
        <w:rPr>
          <w:u w:val="single"/>
        </w:rPr>
      </w:pPr>
      <w:r w:rsidRPr="00A800F9">
        <w:rPr>
          <w:u w:val="single"/>
        </w:rPr>
        <w:t>Guidelines</w:t>
      </w:r>
    </w:p>
    <w:p w14:paraId="1833BF6A" w14:textId="77777777" w:rsidR="00A800F9" w:rsidRPr="00A800F9" w:rsidRDefault="00A800F9" w:rsidP="00A800F9">
      <w:pPr>
        <w:jc w:val="center"/>
        <w:outlineLvl w:val="0"/>
        <w:rPr>
          <w:u w:val="single"/>
        </w:rPr>
      </w:pPr>
    </w:p>
    <w:p w14:paraId="2E6DBA68" w14:textId="0A55CA04" w:rsidR="00A800F9" w:rsidRPr="00A800F9" w:rsidRDefault="00A800F9" w:rsidP="00A800F9">
      <w:r w:rsidRPr="00A800F9">
        <w:t>Please be respectful of one an</w:t>
      </w:r>
      <w:r>
        <w:t xml:space="preserve">other’s opinions. Be rigorous: </w:t>
      </w:r>
      <w:r w:rsidRPr="00A800F9">
        <w:t xml:space="preserve">do the readings thoroughly and carefully and bring all readings to class. </w:t>
      </w:r>
    </w:p>
    <w:p w14:paraId="4294F51B" w14:textId="77777777" w:rsidR="00A800F9" w:rsidRPr="00F21981" w:rsidRDefault="00A800F9" w:rsidP="00A800F9"/>
    <w:p w14:paraId="678BF807" w14:textId="32ACE231" w:rsidR="00A800F9" w:rsidRPr="00A800F9" w:rsidRDefault="00A800F9" w:rsidP="00A800F9">
      <w:pPr>
        <w:outlineLvl w:val="0"/>
      </w:pPr>
      <w:r>
        <w:t>Be on time.</w:t>
      </w:r>
    </w:p>
    <w:p w14:paraId="7FB721F8" w14:textId="77777777" w:rsidR="00A800F9" w:rsidRPr="00F21981" w:rsidRDefault="00A800F9" w:rsidP="00A800F9">
      <w:r w:rsidRPr="00F21981">
        <w:t xml:space="preserve"> </w:t>
      </w:r>
    </w:p>
    <w:p w14:paraId="2F9F29D8" w14:textId="4428C321" w:rsidR="00A800F9" w:rsidRPr="00A800F9" w:rsidRDefault="00A800F9" w:rsidP="00A800F9">
      <w:pPr>
        <w:outlineLvl w:val="0"/>
      </w:pPr>
      <w:r w:rsidRPr="00A800F9">
        <w:t xml:space="preserve">Turn off and put away all cellular phones, tablets, and laptops. </w:t>
      </w:r>
    </w:p>
    <w:p w14:paraId="08151BF6" w14:textId="77777777" w:rsidR="00A800F9" w:rsidRPr="00F21981" w:rsidRDefault="00A800F9" w:rsidP="00A800F9"/>
    <w:p w14:paraId="2CDE73B3" w14:textId="1A643FEC" w:rsidR="00A800F9" w:rsidRPr="00A800F9" w:rsidRDefault="00A800F9" w:rsidP="00A800F9">
      <w:r>
        <w:t>Late policy: e</w:t>
      </w:r>
      <w:r w:rsidR="001C658E">
        <w:t>very six hours late o</w:t>
      </w:r>
      <w:r w:rsidRPr="00A800F9">
        <w:t>n any assignment results in a deduction of half a grade.</w:t>
      </w:r>
    </w:p>
    <w:p w14:paraId="498543BD" w14:textId="77777777" w:rsidR="00A800F9" w:rsidRDefault="00A800F9" w:rsidP="00D03D47">
      <w:pPr>
        <w:jc w:val="center"/>
        <w:rPr>
          <w:u w:val="single"/>
        </w:rPr>
      </w:pPr>
    </w:p>
    <w:p w14:paraId="55779F5D" w14:textId="4B5A6286" w:rsidR="00127177" w:rsidRPr="00581F2A" w:rsidRDefault="00D03D47" w:rsidP="00D03D47">
      <w:pPr>
        <w:jc w:val="center"/>
        <w:rPr>
          <w:u w:val="single"/>
        </w:rPr>
      </w:pPr>
      <w:r w:rsidRPr="00581F2A">
        <w:rPr>
          <w:u w:val="single"/>
        </w:rPr>
        <w:t>Your Work</w:t>
      </w:r>
    </w:p>
    <w:p w14:paraId="4C90E7A3" w14:textId="656EDFB1" w:rsidR="003E65A1" w:rsidRDefault="00F93CD6">
      <w:r>
        <w:rPr>
          <w:b/>
        </w:rPr>
        <w:t xml:space="preserve">Presence: </w:t>
      </w:r>
    </w:p>
    <w:p w14:paraId="69888288" w14:textId="7EF1A6E4" w:rsidR="00F93CD6" w:rsidRPr="00F93CD6" w:rsidRDefault="00F93CD6">
      <w:pPr>
        <w:rPr>
          <w:b/>
        </w:rPr>
      </w:pPr>
      <w:r>
        <w:t xml:space="preserve">Your physical and intellectual presence is key to the success of this course. </w:t>
      </w:r>
      <w:r w:rsidR="002F462B">
        <w:rPr>
          <w:b/>
        </w:rPr>
        <w:t>(20</w:t>
      </w:r>
      <w:r>
        <w:rPr>
          <w:b/>
        </w:rPr>
        <w:t>%)</w:t>
      </w:r>
    </w:p>
    <w:p w14:paraId="27F7B887" w14:textId="77777777" w:rsidR="00F93CD6" w:rsidRDefault="00F93CD6"/>
    <w:p w14:paraId="7E20AF20" w14:textId="65829D1F" w:rsidR="00D03D47" w:rsidRPr="00581F2A" w:rsidRDefault="00862DE3">
      <w:pPr>
        <w:rPr>
          <w:b/>
        </w:rPr>
      </w:pPr>
      <w:r w:rsidRPr="00581F2A">
        <w:rPr>
          <w:b/>
        </w:rPr>
        <w:t xml:space="preserve">Weekly </w:t>
      </w:r>
      <w:r w:rsidR="003E65A1" w:rsidRPr="00581F2A">
        <w:rPr>
          <w:b/>
        </w:rPr>
        <w:t xml:space="preserve">Writing: </w:t>
      </w:r>
    </w:p>
    <w:p w14:paraId="1FE5F66E" w14:textId="12958B41" w:rsidR="00862DE3" w:rsidRDefault="003E65A1">
      <w:r>
        <w:t>Each week you will respond to th</w:t>
      </w:r>
      <w:r w:rsidR="00D03D47">
        <w:t>e assigned readings in a</w:t>
      </w:r>
      <w:r>
        <w:t xml:space="preserve"> summary</w:t>
      </w:r>
      <w:r w:rsidR="00D03D47">
        <w:t xml:space="preserve"> (</w:t>
      </w:r>
      <w:r w:rsidR="003E4CC4">
        <w:t>minimum 1,000 words and maximum</w:t>
      </w:r>
      <w:r w:rsidR="00D03D47">
        <w:t xml:space="preserve"> 1,500 words)</w:t>
      </w:r>
      <w:r>
        <w:t xml:space="preserve">. Give a general idea of </w:t>
      </w:r>
      <w:r w:rsidR="001C658E">
        <w:t xml:space="preserve">each </w:t>
      </w:r>
      <w:r>
        <w:t xml:space="preserve">week’s readings and their stakes. Then focusing on one text, explain first, what is the argument of the text; second, what are </w:t>
      </w:r>
      <w:r w:rsidR="00F93CD6">
        <w:t>the</w:t>
      </w:r>
      <w:r>
        <w:t xml:space="preserve"> conceptual and methodological contributions</w:t>
      </w:r>
      <w:r w:rsidR="00581F2A">
        <w:t xml:space="preserve"> </w:t>
      </w:r>
      <w:r w:rsidR="001C658E">
        <w:t>it makes; third what</w:t>
      </w:r>
      <w:r w:rsidR="00581F2A">
        <w:t xml:space="preserve"> sources does it draw on</w:t>
      </w:r>
      <w:r w:rsidR="001C658E">
        <w:t>; and fourth</w:t>
      </w:r>
      <w:r>
        <w:t>, what are its epistemological stakes: what does it add to</w:t>
      </w:r>
      <w:r w:rsidR="001C658E">
        <w:t xml:space="preserve"> </w:t>
      </w:r>
      <w:r>
        <w:t>or challenge.</w:t>
      </w:r>
      <w:r w:rsidR="00D03D47">
        <w:t xml:space="preserve"> </w:t>
      </w:r>
      <w:r w:rsidR="00D03D47">
        <w:rPr>
          <w:b/>
        </w:rPr>
        <w:t xml:space="preserve">Due by email </w:t>
      </w:r>
      <w:r w:rsidR="002F462B">
        <w:rPr>
          <w:b/>
        </w:rPr>
        <w:t xml:space="preserve">to the entire class by </w:t>
      </w:r>
      <w:r w:rsidR="00D03D47">
        <w:rPr>
          <w:b/>
        </w:rPr>
        <w:t xml:space="preserve">midnight before </w:t>
      </w:r>
      <w:r w:rsidR="002F462B">
        <w:rPr>
          <w:b/>
        </w:rPr>
        <w:t>our meeting</w:t>
      </w:r>
      <w:r w:rsidR="00D03D47">
        <w:rPr>
          <w:b/>
        </w:rPr>
        <w:t xml:space="preserve">. </w:t>
      </w:r>
      <w:r w:rsidR="00D03D47" w:rsidRPr="00581F2A">
        <w:rPr>
          <w:b/>
        </w:rPr>
        <w:t>(20%)</w:t>
      </w:r>
    </w:p>
    <w:p w14:paraId="2BE502E6" w14:textId="77777777" w:rsidR="003E65A1" w:rsidRDefault="003E65A1"/>
    <w:p w14:paraId="12F08322" w14:textId="239361F0" w:rsidR="00D03D47" w:rsidRPr="00581F2A" w:rsidRDefault="00A03F94">
      <w:pPr>
        <w:rPr>
          <w:b/>
        </w:rPr>
      </w:pPr>
      <w:r>
        <w:rPr>
          <w:b/>
        </w:rPr>
        <w:lastRenderedPageBreak/>
        <w:t>Discussion Facilitation</w:t>
      </w:r>
      <w:r w:rsidR="003E65A1" w:rsidRPr="00581F2A">
        <w:rPr>
          <w:b/>
        </w:rPr>
        <w:t xml:space="preserve">: </w:t>
      </w:r>
    </w:p>
    <w:p w14:paraId="08D470C8" w14:textId="13C257D5" w:rsidR="003E65A1" w:rsidRDefault="003E65A1">
      <w:r>
        <w:t xml:space="preserve">You </w:t>
      </w:r>
      <w:r w:rsidR="00A03F94">
        <w:t>are</w:t>
      </w:r>
      <w:r>
        <w:t xml:space="preserve"> responsible for </w:t>
      </w:r>
      <w:r w:rsidR="00A03F94">
        <w:t>facilitating one week’s discussion</w:t>
      </w:r>
      <w:r w:rsidR="00D03D47">
        <w:t xml:space="preserve">. This will be your chance to showcase your pedagogical approaches. Prepare material to lead an hour of the course. This material should include: one, an analysis of that week’s texts and concepts; two, a contextualization of these texts </w:t>
      </w:r>
      <w:r w:rsidR="00581F2A">
        <w:t>in larger historiographic debates</w:t>
      </w:r>
      <w:r w:rsidR="00D03D47">
        <w:t xml:space="preserve">; </w:t>
      </w:r>
      <w:r w:rsidR="00F93CD6">
        <w:t>and three, audio-visual material and/or primary sources that speak to the readings</w:t>
      </w:r>
      <w:r w:rsidR="00D03D47">
        <w:t xml:space="preserve">. </w:t>
      </w:r>
      <w:r w:rsidR="001918C7">
        <w:t>Your primary task is to inspire discussion, debate, and engagement. Please do not</w:t>
      </w:r>
      <w:r w:rsidR="00D03D47">
        <w:t xml:space="preserve"> summarize the readings</w:t>
      </w:r>
      <w:r w:rsidR="00D467F5">
        <w:t>.</w:t>
      </w:r>
      <w:r w:rsidR="00D03D47">
        <w:t xml:space="preserve"> </w:t>
      </w:r>
      <w:r w:rsidR="00D467F5">
        <w:t>Instead,</w:t>
      </w:r>
      <w:r w:rsidR="00D03D47">
        <w:t xml:space="preserve"> </w:t>
      </w:r>
      <w:r w:rsidR="001918C7">
        <w:t>find creative ways to</w:t>
      </w:r>
      <w:r w:rsidR="00D03D47">
        <w:t xml:space="preserve"> </w:t>
      </w:r>
      <w:r w:rsidR="00D467F5">
        <w:t>get us</w:t>
      </w:r>
      <w:r w:rsidR="00D03D47">
        <w:t xml:space="preserve"> thinking </w:t>
      </w:r>
      <w:r w:rsidR="001918C7">
        <w:t>critically, generously, and</w:t>
      </w:r>
      <w:r w:rsidR="00D03D47">
        <w:t xml:space="preserve"> thoroughly about the texts. </w:t>
      </w:r>
      <w:r w:rsidR="00D03D47" w:rsidRPr="00581F2A">
        <w:rPr>
          <w:b/>
        </w:rPr>
        <w:t>(20%)</w:t>
      </w:r>
    </w:p>
    <w:p w14:paraId="106F6C56" w14:textId="77777777" w:rsidR="003E65A1" w:rsidRDefault="003E65A1"/>
    <w:p w14:paraId="012B8946" w14:textId="7E3DF7DA" w:rsidR="003E65A1" w:rsidRPr="00581F2A" w:rsidRDefault="003E65A1">
      <w:pPr>
        <w:rPr>
          <w:b/>
        </w:rPr>
      </w:pPr>
      <w:r w:rsidRPr="00581F2A">
        <w:rPr>
          <w:b/>
        </w:rPr>
        <w:t xml:space="preserve">Review Essay: </w:t>
      </w:r>
    </w:p>
    <w:p w14:paraId="63E11288" w14:textId="7F5F3709" w:rsidR="003E65A1" w:rsidRPr="00581F2A" w:rsidRDefault="00F93CD6">
      <w:r>
        <w:t>C</w:t>
      </w:r>
      <w:r w:rsidR="004B2862">
        <w:t xml:space="preserve">hoose one of the subfields or </w:t>
      </w:r>
      <w:r>
        <w:t>schools we are engaging.  Add two additional sources that are not on our syllabus (one book and one article). In a 5,000-word essay contextualize these texts</w:t>
      </w:r>
      <w:r w:rsidR="00581F2A">
        <w:t xml:space="preserve"> in their historiographic traditions, address their arguments</w:t>
      </w:r>
      <w:r>
        <w:t>,</w:t>
      </w:r>
      <w:r w:rsidR="00581F2A">
        <w:t xml:space="preserve"> </w:t>
      </w:r>
      <w:r>
        <w:t>and engage</w:t>
      </w:r>
      <w:r w:rsidR="00581F2A">
        <w:t xml:space="preserve"> their methodological, empirical, and epistemological contributions. Use this exercise to think about your own research and its potential contributions. </w:t>
      </w:r>
      <w:r w:rsidR="00581F2A">
        <w:rPr>
          <w:b/>
        </w:rPr>
        <w:t>Due March 15</w:t>
      </w:r>
      <w:r w:rsidR="00581F2A" w:rsidRPr="00581F2A">
        <w:rPr>
          <w:b/>
        </w:rPr>
        <w:t>. (40%)</w:t>
      </w:r>
    </w:p>
    <w:p w14:paraId="27941A71" w14:textId="77777777" w:rsidR="00862DE3" w:rsidRDefault="00862DE3"/>
    <w:p w14:paraId="0A293CB1" w14:textId="77777777" w:rsidR="00581F2A" w:rsidRDefault="00581F2A">
      <w:pPr>
        <w:rPr>
          <w:u w:val="single"/>
        </w:rPr>
      </w:pPr>
      <w:r w:rsidRPr="00581F2A">
        <w:rPr>
          <w:u w:val="single"/>
        </w:rPr>
        <w:t>Texts</w:t>
      </w:r>
    </w:p>
    <w:p w14:paraId="56D0E42E" w14:textId="60FFD1D9" w:rsidR="00FA1B4E" w:rsidRDefault="00A46159" w:rsidP="00A03F94">
      <w:pPr>
        <w:rPr>
          <w:rFonts w:cs="Times New Roman"/>
        </w:rPr>
      </w:pPr>
      <w:r>
        <w:t xml:space="preserve">All materials </w:t>
      </w:r>
      <w:r w:rsidR="00F76E0D">
        <w:t>will be</w:t>
      </w:r>
      <w:r>
        <w:t xml:space="preserve"> available on Gaucho Space.</w:t>
      </w:r>
      <w:r w:rsidR="00581F2A">
        <w:t xml:space="preserve"> </w:t>
      </w:r>
    </w:p>
    <w:p w14:paraId="3DCA1F2F" w14:textId="77777777" w:rsidR="001918C7" w:rsidRDefault="001918C7">
      <w:pPr>
        <w:rPr>
          <w:rFonts w:cs="Times New Roman"/>
        </w:rPr>
      </w:pPr>
    </w:p>
    <w:p w14:paraId="79720E64" w14:textId="33CBDC6F" w:rsidR="00127177" w:rsidRPr="00C55E73" w:rsidRDefault="00127177">
      <w:pPr>
        <w:rPr>
          <w:b/>
        </w:rPr>
      </w:pPr>
      <w:r w:rsidRPr="00C55E73">
        <w:rPr>
          <w:b/>
        </w:rPr>
        <w:t xml:space="preserve">January 4: </w:t>
      </w:r>
      <w:r w:rsidR="00345C49">
        <w:rPr>
          <w:b/>
        </w:rPr>
        <w:tab/>
      </w:r>
      <w:r w:rsidR="00345C49">
        <w:rPr>
          <w:b/>
        </w:rPr>
        <w:tab/>
      </w:r>
      <w:r w:rsidR="00345C49">
        <w:rPr>
          <w:b/>
        </w:rPr>
        <w:tab/>
      </w:r>
      <w:r w:rsidR="00345C49">
        <w:rPr>
          <w:b/>
        </w:rPr>
        <w:tab/>
      </w:r>
      <w:r w:rsidRPr="00C55E73">
        <w:rPr>
          <w:b/>
        </w:rPr>
        <w:t>Introduction</w:t>
      </w:r>
      <w:r w:rsidR="00D83C16" w:rsidRPr="00C55E73">
        <w:rPr>
          <w:b/>
        </w:rPr>
        <w:t xml:space="preserve"> to course</w:t>
      </w:r>
    </w:p>
    <w:p w14:paraId="279EFE14" w14:textId="77777777" w:rsidR="00127177" w:rsidRPr="00C55E73" w:rsidRDefault="00127177"/>
    <w:p w14:paraId="08CE1F0B" w14:textId="237ED4F0" w:rsidR="00AF5C2A" w:rsidRDefault="00127177" w:rsidP="00BB25CB">
      <w:pPr>
        <w:rPr>
          <w:b/>
        </w:rPr>
      </w:pPr>
      <w:r w:rsidRPr="00C55E73">
        <w:rPr>
          <w:b/>
        </w:rPr>
        <w:t xml:space="preserve">January 11: </w:t>
      </w:r>
      <w:r w:rsidR="00C55E73" w:rsidRPr="00C55E73">
        <w:rPr>
          <w:b/>
        </w:rPr>
        <w:tab/>
      </w:r>
      <w:r w:rsidR="00C55E73" w:rsidRPr="00C55E73">
        <w:rPr>
          <w:b/>
        </w:rPr>
        <w:tab/>
      </w:r>
      <w:r w:rsidR="00C55E73" w:rsidRPr="00C55E73">
        <w:rPr>
          <w:b/>
        </w:rPr>
        <w:tab/>
      </w:r>
      <w:r w:rsidR="009C214C">
        <w:rPr>
          <w:b/>
        </w:rPr>
        <w:tab/>
      </w:r>
      <w:r w:rsidR="008E1C3E">
        <w:rPr>
          <w:b/>
        </w:rPr>
        <w:t>T</w:t>
      </w:r>
      <w:r w:rsidR="00BB25CB" w:rsidRPr="00C55E73">
        <w:rPr>
          <w:b/>
        </w:rPr>
        <w:t>he Historical Discipline</w:t>
      </w:r>
    </w:p>
    <w:p w14:paraId="69EFEAC7" w14:textId="1CF41998" w:rsidR="00A46159" w:rsidRPr="00A46159" w:rsidRDefault="00A46159" w:rsidP="00BB25CB">
      <w:pPr>
        <w:rPr>
          <w:b/>
        </w:rPr>
      </w:pPr>
      <w:r w:rsidRPr="00C55E73">
        <w:t xml:space="preserve">Georg Iggers, </w:t>
      </w:r>
      <w:r w:rsidRPr="00C55E73">
        <w:rPr>
          <w:i/>
        </w:rPr>
        <w:t>Historiography in the Twentieth Century: From Scientific Objectivity to the Postmodern Challenge</w:t>
      </w:r>
      <w:r w:rsidRPr="00C55E73">
        <w:t xml:space="preserve"> (Hanover: Wesleyan University Press, 1997). </w:t>
      </w:r>
      <w:r w:rsidR="001C62D0">
        <w:t xml:space="preserve"> </w:t>
      </w:r>
    </w:p>
    <w:p w14:paraId="340ED71E" w14:textId="77777777" w:rsidR="00A46159" w:rsidRDefault="00A46159" w:rsidP="00BB25CB"/>
    <w:p w14:paraId="3F91BDF1" w14:textId="162875C3" w:rsidR="00BB25CB" w:rsidRPr="00C55E73" w:rsidRDefault="001C62D0" w:rsidP="00BB25CB">
      <w:pPr>
        <w:rPr>
          <w:b/>
        </w:rPr>
      </w:pPr>
      <w:r>
        <w:t>Leopold </w:t>
      </w:r>
      <w:r w:rsidR="00A03F94">
        <w:t>v</w:t>
      </w:r>
      <w:r w:rsidR="00BB25CB" w:rsidRPr="00C55E73">
        <w:t>on Ranke, “On the Chara</w:t>
      </w:r>
      <w:r w:rsidR="00D507A1">
        <w:t>cter of Historical Science” in </w:t>
      </w:r>
      <w:r w:rsidR="00A03F94">
        <w:t>Leop</w:t>
      </w:r>
      <w:r w:rsidR="00BB25CB" w:rsidRPr="00C55E73">
        <w:t>o</w:t>
      </w:r>
      <w:r w:rsidR="00A03F94">
        <w:t>ld v</w:t>
      </w:r>
      <w:r w:rsidR="00BB25CB" w:rsidRPr="00C55E73">
        <w:t>on Ranke</w:t>
      </w:r>
      <w:r w:rsidR="00E11DE1">
        <w:t xml:space="preserve"> </w:t>
      </w:r>
      <w:r w:rsidR="00E11DE1">
        <w:rPr>
          <w:i/>
        </w:rPr>
        <w:t>The</w:t>
      </w:r>
      <w:r w:rsidR="00BB25CB" w:rsidRPr="00C55E73">
        <w:t xml:space="preserve"> </w:t>
      </w:r>
      <w:r w:rsidR="00BB25CB" w:rsidRPr="00C55E73">
        <w:rPr>
          <w:i/>
        </w:rPr>
        <w:t>Theory and Practice of History</w:t>
      </w:r>
      <w:r w:rsidR="00CA34C1">
        <w:t>, edited with an introduction by</w:t>
      </w:r>
      <w:r w:rsidR="00BB25CB" w:rsidRPr="00C55E73">
        <w:t xml:space="preserve"> Georg Iggers, (</w:t>
      </w:r>
      <w:r w:rsidR="00CA34C1">
        <w:t>New York</w:t>
      </w:r>
      <w:r w:rsidR="007954A1">
        <w:t>:</w:t>
      </w:r>
      <w:r w:rsidR="00BB25CB" w:rsidRPr="00C55E73">
        <w:t xml:space="preserve"> </w:t>
      </w:r>
      <w:r w:rsidR="00CA34C1">
        <w:t>Routledge</w:t>
      </w:r>
      <w:r w:rsidR="00BB25CB" w:rsidRPr="00C55E73">
        <w:t>,</w:t>
      </w:r>
      <w:r w:rsidR="00CA34C1">
        <w:t xml:space="preserve"> 2011;</w:t>
      </w:r>
      <w:r w:rsidR="00BB25CB" w:rsidRPr="00C55E73">
        <w:t xml:space="preserve"> 1973), </w:t>
      </w:r>
      <w:r w:rsidR="00CA34C1">
        <w:t>8-17</w:t>
      </w:r>
      <w:r w:rsidR="00A46159">
        <w:t>.</w:t>
      </w:r>
      <w:r>
        <w:t xml:space="preserve"> </w:t>
      </w:r>
    </w:p>
    <w:p w14:paraId="7C96912D" w14:textId="77777777" w:rsidR="00A46159" w:rsidRDefault="00A46159" w:rsidP="00DF6E68"/>
    <w:p w14:paraId="374C554C" w14:textId="561DBBFF" w:rsidR="00A46159" w:rsidRDefault="00A46159" w:rsidP="00DF6E68">
      <w:r>
        <w:t xml:space="preserve">Walter Benjamin, “Theses on the Philosophy of History,” in </w:t>
      </w:r>
      <w:r>
        <w:rPr>
          <w:i/>
        </w:rPr>
        <w:t>Illuminations</w:t>
      </w:r>
      <w:r>
        <w:t xml:space="preserve"> trans. by Hannah Arendt (New York: Schocken Books, 1968), 253-264.</w:t>
      </w:r>
      <w:r w:rsidR="001C62D0">
        <w:t xml:space="preserve"> </w:t>
      </w:r>
    </w:p>
    <w:p w14:paraId="39E89D53" w14:textId="77777777" w:rsidR="008E1C3E" w:rsidRDefault="008E1C3E" w:rsidP="00DF6E68"/>
    <w:p w14:paraId="2BE83F49" w14:textId="6BAE730F" w:rsidR="008E1C3E" w:rsidRPr="00496149" w:rsidRDefault="008E1C3E" w:rsidP="00DF6E68">
      <w:r w:rsidRPr="00496149">
        <w:t>Recommended:</w:t>
      </w:r>
    </w:p>
    <w:p w14:paraId="07D0ADF6" w14:textId="4DC20997" w:rsidR="008E1C3E" w:rsidRPr="00A46159" w:rsidRDefault="008E1C3E" w:rsidP="00DF6E68">
      <w:r w:rsidRPr="009F7FF6">
        <w:rPr>
          <w:rFonts w:cs="Times New Roman"/>
        </w:rPr>
        <w:t xml:space="preserve">Hayden White, “Historical Emplotment and the Problem of Truth,” in Saul Friedlander, ed., </w:t>
      </w:r>
      <w:r w:rsidRPr="009F7FF6">
        <w:rPr>
          <w:rFonts w:cs="Times New Roman"/>
          <w:i/>
        </w:rPr>
        <w:t>Probing the Limits of Representation: Nazism and the “Final Solution”</w:t>
      </w:r>
      <w:r w:rsidRPr="009F7FF6">
        <w:rPr>
          <w:rFonts w:cs="Times New Roman"/>
        </w:rPr>
        <w:t xml:space="preserve"> (Cambridge: Harvard University Press, 1992), 37-53</w:t>
      </w:r>
      <w:r w:rsidR="00005660">
        <w:rPr>
          <w:rFonts w:cs="Times New Roman"/>
        </w:rPr>
        <w:t>.</w:t>
      </w:r>
    </w:p>
    <w:p w14:paraId="212E806F" w14:textId="1001F799" w:rsidR="00DF6E68" w:rsidRPr="00C55E73" w:rsidRDefault="00DF6E68">
      <w:pPr>
        <w:rPr>
          <w:i/>
        </w:rPr>
      </w:pPr>
    </w:p>
    <w:p w14:paraId="6FF55127" w14:textId="293A8140" w:rsidR="001C62D0" w:rsidRPr="009F7FF6" w:rsidRDefault="001C62D0" w:rsidP="001C62D0">
      <w:pPr>
        <w:rPr>
          <w:rFonts w:cs="Times New Roman"/>
          <w:b/>
        </w:rPr>
      </w:pPr>
      <w:r w:rsidRPr="009F7FF6">
        <w:rPr>
          <w:rFonts w:cs="Times New Roman"/>
          <w:b/>
        </w:rPr>
        <w:t xml:space="preserve">January 18: </w:t>
      </w:r>
      <w:r w:rsidRPr="009F7FF6">
        <w:rPr>
          <w:rFonts w:cs="Times New Roman"/>
          <w:b/>
        </w:rPr>
        <w:tab/>
      </w:r>
      <w:r w:rsidRPr="009F7FF6">
        <w:rPr>
          <w:rFonts w:cs="Times New Roman"/>
          <w:b/>
        </w:rPr>
        <w:tab/>
      </w:r>
      <w:r w:rsidRPr="009F7FF6">
        <w:rPr>
          <w:rFonts w:cs="Times New Roman"/>
          <w:b/>
        </w:rPr>
        <w:tab/>
      </w:r>
      <w:r w:rsidR="009C214C">
        <w:rPr>
          <w:rFonts w:cs="Times New Roman"/>
          <w:b/>
        </w:rPr>
        <w:tab/>
      </w:r>
      <w:r w:rsidRPr="009F7FF6">
        <w:rPr>
          <w:rFonts w:cs="Times New Roman"/>
          <w:b/>
        </w:rPr>
        <w:t xml:space="preserve">Martin Luther King Day </w:t>
      </w:r>
      <w:r>
        <w:rPr>
          <w:rFonts w:cs="Times New Roman"/>
          <w:b/>
        </w:rPr>
        <w:t>(Reschedule</w:t>
      </w:r>
      <w:r w:rsidR="00A03F94">
        <w:rPr>
          <w:rFonts w:cs="Times New Roman"/>
          <w:b/>
        </w:rPr>
        <w:t>d to __________</w:t>
      </w:r>
      <w:r>
        <w:rPr>
          <w:rFonts w:cs="Times New Roman"/>
          <w:b/>
        </w:rPr>
        <w:t>)</w:t>
      </w:r>
    </w:p>
    <w:p w14:paraId="6853462F" w14:textId="34431498" w:rsidR="001C62D0" w:rsidRPr="009F7FF6" w:rsidRDefault="009C214C" w:rsidP="001C62D0">
      <w:pPr>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sidR="001C62D0" w:rsidRPr="009F7FF6">
        <w:rPr>
          <w:rFonts w:cs="Times New Roman"/>
          <w:b/>
        </w:rPr>
        <w:t>The Historian’s Craft</w:t>
      </w:r>
    </w:p>
    <w:p w14:paraId="0500D949" w14:textId="27F6CB89" w:rsidR="001C62D0" w:rsidRPr="009F7FF6" w:rsidRDefault="001C62D0" w:rsidP="001C62D0">
      <w:pPr>
        <w:rPr>
          <w:rFonts w:cs="Times New Roman"/>
        </w:rPr>
      </w:pPr>
      <w:r w:rsidRPr="009F7FF6">
        <w:rPr>
          <w:rFonts w:cs="Times New Roman"/>
        </w:rPr>
        <w:t xml:space="preserve">Marc Bloch, </w:t>
      </w:r>
      <w:r w:rsidRPr="009F7FF6">
        <w:rPr>
          <w:rFonts w:cs="Times New Roman"/>
          <w:i/>
        </w:rPr>
        <w:t>The Historian’s Craft</w:t>
      </w:r>
      <w:r w:rsidR="008873C2">
        <w:rPr>
          <w:rFonts w:cs="Times New Roman"/>
        </w:rPr>
        <w:t xml:space="preserve"> (New York: Vintage Books, </w:t>
      </w:r>
      <w:r w:rsidRPr="009F7FF6">
        <w:rPr>
          <w:rFonts w:cs="Times New Roman"/>
        </w:rPr>
        <w:t>1953</w:t>
      </w:r>
      <w:r w:rsidR="008873C2">
        <w:rPr>
          <w:rFonts w:cs="Times New Roman"/>
        </w:rPr>
        <w:t>)</w:t>
      </w:r>
      <w:r w:rsidRPr="009F7FF6">
        <w:rPr>
          <w:rFonts w:cs="Times New Roman"/>
        </w:rPr>
        <w:t xml:space="preserve">. </w:t>
      </w:r>
      <w:r w:rsidR="008E1C3E">
        <w:rPr>
          <w:rFonts w:cs="Times New Roman"/>
        </w:rPr>
        <w:t xml:space="preserve"> </w:t>
      </w:r>
    </w:p>
    <w:p w14:paraId="3FEBD844" w14:textId="77777777" w:rsidR="001C62D0" w:rsidRPr="009F7FF6" w:rsidRDefault="001C62D0" w:rsidP="001C62D0">
      <w:pPr>
        <w:rPr>
          <w:rFonts w:cs="Times New Roman"/>
        </w:rPr>
      </w:pPr>
    </w:p>
    <w:p w14:paraId="55D48311" w14:textId="41EB0CE7" w:rsidR="001C62D0" w:rsidRPr="009F7FF6" w:rsidRDefault="001C62D0" w:rsidP="001C62D0">
      <w:pPr>
        <w:rPr>
          <w:rFonts w:cs="Times New Roman"/>
        </w:rPr>
      </w:pPr>
      <w:r w:rsidRPr="009F7FF6">
        <w:rPr>
          <w:rFonts w:cs="Times New Roman"/>
        </w:rPr>
        <w:t xml:space="preserve">Amy Richlin, </w:t>
      </w:r>
      <w:r w:rsidR="00496149">
        <w:rPr>
          <w:rFonts w:cs="Times New Roman"/>
        </w:rPr>
        <w:t xml:space="preserve">“Introduction,” “Chapter One: Approaches to the Sources on Adultery in Rome,” and “Chapter Five: Reading Ovid’s Rapes,” in </w:t>
      </w:r>
      <w:r w:rsidRPr="009F7FF6">
        <w:rPr>
          <w:rFonts w:cs="Times New Roman"/>
          <w:i/>
        </w:rPr>
        <w:t xml:space="preserve">Arguments with Silence: Writing the History of Roman Women </w:t>
      </w:r>
      <w:r w:rsidRPr="009F7FF6">
        <w:rPr>
          <w:rFonts w:cs="Times New Roman"/>
        </w:rPr>
        <w:t>(</w:t>
      </w:r>
      <w:r w:rsidR="008873C2">
        <w:rPr>
          <w:rFonts w:cs="Times New Roman"/>
        </w:rPr>
        <w:t xml:space="preserve">Ann Arbor: University of Michigan Press, </w:t>
      </w:r>
      <w:r w:rsidRPr="009F7FF6">
        <w:rPr>
          <w:rFonts w:cs="Times New Roman"/>
        </w:rPr>
        <w:t>2014)</w:t>
      </w:r>
      <w:r w:rsidR="008873C2">
        <w:rPr>
          <w:rFonts w:cs="Times New Roman"/>
        </w:rPr>
        <w:t>.</w:t>
      </w:r>
    </w:p>
    <w:p w14:paraId="54B4FF43" w14:textId="77777777" w:rsidR="001C62D0" w:rsidRDefault="001C62D0" w:rsidP="001C62D0">
      <w:pPr>
        <w:rPr>
          <w:rFonts w:cs="Times New Roman"/>
        </w:rPr>
      </w:pPr>
    </w:p>
    <w:p w14:paraId="3AE824EF" w14:textId="715AD45B" w:rsidR="00496149" w:rsidRDefault="00496149" w:rsidP="00496149">
      <w:pPr>
        <w:rPr>
          <w:rFonts w:cs="Times New Roman"/>
        </w:rPr>
      </w:pPr>
      <w:r w:rsidRPr="009F7FF6">
        <w:rPr>
          <w:rFonts w:cs="Times New Roman"/>
        </w:rPr>
        <w:t>Renato Rosaldo, “</w:t>
      </w:r>
      <w:r>
        <w:rPr>
          <w:rFonts w:cs="Times New Roman"/>
        </w:rPr>
        <w:t xml:space="preserve">Introduction: </w:t>
      </w:r>
      <w:r w:rsidRPr="009F7FF6">
        <w:rPr>
          <w:rFonts w:cs="Times New Roman"/>
        </w:rPr>
        <w:t>Grief and a Headhunter’s Rage</w:t>
      </w:r>
      <w:r>
        <w:rPr>
          <w:rFonts w:cs="Times New Roman"/>
        </w:rPr>
        <w:t>,</w:t>
      </w:r>
      <w:r w:rsidRPr="009F7FF6">
        <w:rPr>
          <w:rFonts w:cs="Times New Roman"/>
        </w:rPr>
        <w:t>”</w:t>
      </w:r>
      <w:r>
        <w:rPr>
          <w:rFonts w:cs="Times New Roman"/>
        </w:rPr>
        <w:t xml:space="preserve"> in </w:t>
      </w:r>
      <w:r>
        <w:rPr>
          <w:rFonts w:cs="Times New Roman"/>
          <w:i/>
        </w:rPr>
        <w:t>Culture and Truth: The Remaking of Social Analysis</w:t>
      </w:r>
      <w:r>
        <w:rPr>
          <w:rFonts w:cs="Times New Roman"/>
        </w:rPr>
        <w:t xml:space="preserve"> (Boston: Beacon Press, 1993).</w:t>
      </w:r>
    </w:p>
    <w:p w14:paraId="3CF791BC" w14:textId="77777777" w:rsidR="001C62D0" w:rsidRDefault="001C62D0" w:rsidP="001C62D0">
      <w:pPr>
        <w:rPr>
          <w:rFonts w:cs="Times New Roman"/>
        </w:rPr>
      </w:pPr>
    </w:p>
    <w:p w14:paraId="1E80E53C" w14:textId="51E70018" w:rsidR="008E1C3E" w:rsidRPr="009F7FF6" w:rsidRDefault="008E1C3E" w:rsidP="001C62D0">
      <w:pPr>
        <w:rPr>
          <w:rFonts w:cs="Times New Roman"/>
        </w:rPr>
      </w:pPr>
      <w:r>
        <w:rPr>
          <w:rFonts w:cs="Times New Roman"/>
        </w:rPr>
        <w:t>Recommended:</w:t>
      </w:r>
    </w:p>
    <w:p w14:paraId="32643F8A" w14:textId="7E7C30B5" w:rsidR="00496149" w:rsidRPr="009F7FF6" w:rsidRDefault="00496149" w:rsidP="00496149">
      <w:pPr>
        <w:rPr>
          <w:rFonts w:cs="Times New Roman"/>
        </w:rPr>
      </w:pPr>
      <w:r w:rsidRPr="009F7FF6">
        <w:rPr>
          <w:rFonts w:cs="Times New Roman"/>
        </w:rPr>
        <w:t xml:space="preserve">Philip A. Kuhn, </w:t>
      </w:r>
      <w:r>
        <w:rPr>
          <w:rFonts w:cs="Times New Roman"/>
        </w:rPr>
        <w:t xml:space="preserve">“Chapter One: Tales of the China Clipper,” “Chapter Two: The Prosperous Age,” and “Chapter Three: Threats Seen and Unseen,” in </w:t>
      </w:r>
      <w:r w:rsidRPr="009F7FF6">
        <w:rPr>
          <w:rFonts w:cs="Times New Roman"/>
          <w:i/>
        </w:rPr>
        <w:t>Soulstealers: The Chinese Sorcery Scare of 1768</w:t>
      </w:r>
      <w:r w:rsidRPr="009F7FF6">
        <w:rPr>
          <w:rFonts w:cs="Times New Roman"/>
        </w:rPr>
        <w:t xml:space="preserve"> (</w:t>
      </w:r>
      <w:r w:rsidR="00345C49">
        <w:rPr>
          <w:rFonts w:cs="Times New Roman"/>
        </w:rPr>
        <w:t xml:space="preserve">Cambridge: Harvard University Press, </w:t>
      </w:r>
      <w:r w:rsidRPr="009F7FF6">
        <w:rPr>
          <w:rFonts w:cs="Times New Roman"/>
        </w:rPr>
        <w:t>1990)</w:t>
      </w:r>
      <w:r w:rsidR="00345C49">
        <w:rPr>
          <w:rFonts w:cs="Times New Roman"/>
        </w:rPr>
        <w:t>.</w:t>
      </w:r>
    </w:p>
    <w:p w14:paraId="6C457E0E" w14:textId="77777777" w:rsidR="00CA34C1" w:rsidRDefault="00CA34C1" w:rsidP="001C62D0">
      <w:pPr>
        <w:rPr>
          <w:rFonts w:cs="Times New Roman"/>
        </w:rPr>
      </w:pPr>
    </w:p>
    <w:p w14:paraId="77D16518" w14:textId="18C2ECFB" w:rsidR="00853120" w:rsidRDefault="00853120" w:rsidP="00853120">
      <w:pPr>
        <w:rPr>
          <w:rFonts w:cs="Times New Roman"/>
          <w:b/>
        </w:rPr>
      </w:pPr>
      <w:r w:rsidRPr="009F7FF6">
        <w:rPr>
          <w:rFonts w:cs="Times New Roman"/>
          <w:b/>
        </w:rPr>
        <w:t xml:space="preserve">January 25: </w:t>
      </w:r>
      <w:r w:rsidRPr="009F7FF6">
        <w:rPr>
          <w:rFonts w:cs="Times New Roman"/>
          <w:b/>
        </w:rPr>
        <w:tab/>
      </w:r>
      <w:r w:rsidRPr="009F7FF6">
        <w:rPr>
          <w:rFonts w:cs="Times New Roman"/>
          <w:b/>
        </w:rPr>
        <w:tab/>
      </w:r>
      <w:r w:rsidRPr="009F7FF6">
        <w:rPr>
          <w:rFonts w:cs="Times New Roman"/>
          <w:b/>
        </w:rPr>
        <w:tab/>
      </w:r>
      <w:r w:rsidR="009C214C">
        <w:rPr>
          <w:rFonts w:cs="Times New Roman"/>
          <w:b/>
        </w:rPr>
        <w:tab/>
      </w:r>
      <w:r>
        <w:rPr>
          <w:rFonts w:cs="Times New Roman"/>
          <w:b/>
        </w:rPr>
        <w:t xml:space="preserve">After Tahrir Conference </w:t>
      </w:r>
      <w:r w:rsidR="00A03F94">
        <w:rPr>
          <w:rFonts w:cs="Times New Roman"/>
          <w:b/>
        </w:rPr>
        <w:t>(Rescheduled to __________)</w:t>
      </w:r>
    </w:p>
    <w:p w14:paraId="2208A6D6" w14:textId="37204F18" w:rsidR="00853120" w:rsidRPr="009F7FF6" w:rsidRDefault="00853120" w:rsidP="009C214C">
      <w:pPr>
        <w:ind w:left="2880" w:firstLine="720"/>
        <w:rPr>
          <w:rFonts w:cs="Times New Roman"/>
          <w:b/>
        </w:rPr>
      </w:pPr>
      <w:r w:rsidRPr="009F7FF6">
        <w:rPr>
          <w:rFonts w:cs="Times New Roman"/>
          <w:b/>
        </w:rPr>
        <w:t>Class and Capital</w:t>
      </w:r>
    </w:p>
    <w:p w14:paraId="1A0A09BB" w14:textId="44918A1D" w:rsidR="00853120" w:rsidRPr="009F7FF6" w:rsidRDefault="00853120" w:rsidP="00853120">
      <w:pPr>
        <w:rPr>
          <w:rFonts w:cs="Times New Roman"/>
        </w:rPr>
      </w:pPr>
      <w:r w:rsidRPr="009F7FF6">
        <w:rPr>
          <w:rFonts w:cs="Times New Roman"/>
        </w:rPr>
        <w:t>Karl Marx, “Estranged</w:t>
      </w:r>
      <w:r w:rsidR="00991A9E">
        <w:rPr>
          <w:rFonts w:cs="Times New Roman"/>
        </w:rPr>
        <w:t xml:space="preserve"> Labor,” in </w:t>
      </w:r>
      <w:r w:rsidRPr="00991A9E">
        <w:rPr>
          <w:rFonts w:cs="Times New Roman"/>
          <w:i/>
        </w:rPr>
        <w:t>The Economic and Philosophic Manuscripts of 1844</w:t>
      </w:r>
      <w:r w:rsidR="001605B1">
        <w:rPr>
          <w:rFonts w:cs="Times New Roman"/>
        </w:rPr>
        <w:t xml:space="preserve"> (Moscow: Progress Publishers, 1959)</w:t>
      </w:r>
      <w:r w:rsidR="00AF5C2A">
        <w:rPr>
          <w:rFonts w:cs="Times New Roman"/>
        </w:rPr>
        <w:t xml:space="preserve">, 28-35; and </w:t>
      </w:r>
      <w:r w:rsidR="00863DC0">
        <w:rPr>
          <w:rFonts w:cs="Times New Roman"/>
        </w:rPr>
        <w:t>Marx and Friedrich Engels,</w:t>
      </w:r>
      <w:r w:rsidRPr="009F7FF6">
        <w:rPr>
          <w:rFonts w:cs="Times New Roman"/>
        </w:rPr>
        <w:t xml:space="preserve"> “The German Ideology” in Erich From, </w:t>
      </w:r>
      <w:r w:rsidRPr="009F7FF6">
        <w:rPr>
          <w:rFonts w:cs="Times New Roman"/>
          <w:i/>
        </w:rPr>
        <w:t>Marx’s Concept of Man</w:t>
      </w:r>
      <w:r w:rsidR="00863DC0">
        <w:rPr>
          <w:rFonts w:cs="Times New Roman"/>
        </w:rPr>
        <w:t xml:space="preserve"> (New York: Continuum, 2002), </w:t>
      </w:r>
      <w:r w:rsidRPr="009F7FF6">
        <w:rPr>
          <w:rFonts w:cs="Times New Roman"/>
        </w:rPr>
        <w:t>197-216.</w:t>
      </w:r>
    </w:p>
    <w:p w14:paraId="7F0D6AA8" w14:textId="77777777" w:rsidR="00853120" w:rsidRPr="009F7FF6" w:rsidRDefault="00853120" w:rsidP="00853120">
      <w:pPr>
        <w:tabs>
          <w:tab w:val="num" w:pos="720"/>
        </w:tabs>
        <w:rPr>
          <w:rFonts w:cs="Times New Roman"/>
        </w:rPr>
      </w:pPr>
    </w:p>
    <w:p w14:paraId="40C198E8" w14:textId="086176AC" w:rsidR="00853120" w:rsidRPr="009F7FF6" w:rsidRDefault="00853120" w:rsidP="00853120">
      <w:pPr>
        <w:tabs>
          <w:tab w:val="num" w:pos="720"/>
        </w:tabs>
        <w:rPr>
          <w:rFonts w:cs="Times New Roman"/>
        </w:rPr>
      </w:pPr>
      <w:r w:rsidRPr="009F7FF6">
        <w:rPr>
          <w:rFonts w:cs="Times New Roman"/>
        </w:rPr>
        <w:t xml:space="preserve">E. P. Thompson, </w:t>
      </w:r>
      <w:r w:rsidR="005F1108">
        <w:rPr>
          <w:rFonts w:cs="Times New Roman"/>
        </w:rPr>
        <w:t xml:space="preserve">“Chapter One: Members Unlimited,” </w:t>
      </w:r>
      <w:r w:rsidR="00A03F94">
        <w:rPr>
          <w:rFonts w:cs="Times New Roman"/>
        </w:rPr>
        <w:t xml:space="preserve">and </w:t>
      </w:r>
      <w:r w:rsidR="005F1108">
        <w:rPr>
          <w:rFonts w:cs="Times New Roman"/>
        </w:rPr>
        <w:t>“Chap</w:t>
      </w:r>
      <w:r w:rsidR="00A03F94">
        <w:rPr>
          <w:rFonts w:cs="Times New Roman"/>
        </w:rPr>
        <w:t>ter Two: Christian and Apollyon</w:t>
      </w:r>
      <w:r w:rsidR="005F1108">
        <w:rPr>
          <w:rFonts w:cs="Times New Roman"/>
        </w:rPr>
        <w:t xml:space="preserve">” in </w:t>
      </w:r>
      <w:r w:rsidRPr="009F7FF6">
        <w:rPr>
          <w:rFonts w:cs="Times New Roman"/>
          <w:i/>
        </w:rPr>
        <w:t>The Making of the English Working Class</w:t>
      </w:r>
      <w:r w:rsidR="00991A9E">
        <w:rPr>
          <w:rFonts w:cs="Times New Roman"/>
        </w:rPr>
        <w:t xml:space="preserve"> (New York: </w:t>
      </w:r>
      <w:r w:rsidR="005F1108">
        <w:rPr>
          <w:rFonts w:cs="Times New Roman"/>
        </w:rPr>
        <w:t>Vintage Books, 1966).</w:t>
      </w:r>
    </w:p>
    <w:p w14:paraId="40C1953D" w14:textId="77777777" w:rsidR="00853120" w:rsidRPr="009F7FF6" w:rsidRDefault="00853120" w:rsidP="00853120">
      <w:pPr>
        <w:tabs>
          <w:tab w:val="num" w:pos="720"/>
        </w:tabs>
        <w:rPr>
          <w:rFonts w:cs="Times New Roman"/>
        </w:rPr>
      </w:pPr>
    </w:p>
    <w:p w14:paraId="5D871EEC" w14:textId="3DB12FC1" w:rsidR="00853120" w:rsidRDefault="00853120" w:rsidP="00853120">
      <w:pPr>
        <w:rPr>
          <w:rFonts w:cs="Times New Roman"/>
        </w:rPr>
      </w:pPr>
      <w:r w:rsidRPr="009F7FF6">
        <w:rPr>
          <w:rFonts w:cs="Times New Roman"/>
        </w:rPr>
        <w:t xml:space="preserve">Roderick A. Ferguson, “Introduction: Queer of Color Critique, Historical Materialism and Canonical Sociology,” </w:t>
      </w:r>
      <w:r w:rsidRPr="009F7FF6">
        <w:rPr>
          <w:rFonts w:cs="Times New Roman"/>
          <w:i/>
        </w:rPr>
        <w:t>Aberrations in Black: Toward a Queer of Color Critique</w:t>
      </w:r>
      <w:r w:rsidR="0034490E">
        <w:rPr>
          <w:rFonts w:cs="Times New Roman"/>
        </w:rPr>
        <w:t xml:space="preserve"> (</w:t>
      </w:r>
      <w:r w:rsidRPr="009F7FF6">
        <w:rPr>
          <w:rFonts w:cs="Times New Roman"/>
        </w:rPr>
        <w:t>Minneapolis: University of Minnesota Press, 2004</w:t>
      </w:r>
      <w:r w:rsidR="0034490E">
        <w:rPr>
          <w:rFonts w:cs="Times New Roman"/>
        </w:rPr>
        <w:t>)</w:t>
      </w:r>
      <w:r w:rsidRPr="009F7FF6">
        <w:rPr>
          <w:rFonts w:cs="Times New Roman"/>
        </w:rPr>
        <w:t>.</w:t>
      </w:r>
    </w:p>
    <w:p w14:paraId="4ACEBD71" w14:textId="77777777" w:rsidR="00FA1B4E" w:rsidRPr="009F7FF6" w:rsidRDefault="00FA1B4E" w:rsidP="00853120">
      <w:pPr>
        <w:rPr>
          <w:rFonts w:cs="Times New Roman"/>
        </w:rPr>
      </w:pPr>
    </w:p>
    <w:p w14:paraId="6BA72D91" w14:textId="77777777" w:rsidR="00FA1B4E" w:rsidRDefault="00991A9E" w:rsidP="00DB4B52">
      <w:r>
        <w:t>Recommended:</w:t>
      </w:r>
    </w:p>
    <w:p w14:paraId="4C973CAF" w14:textId="77777777" w:rsidR="00A03F94" w:rsidRDefault="00A03F94" w:rsidP="00A03F94">
      <w:pPr>
        <w:rPr>
          <w:rFonts w:cs="Times New Roman"/>
        </w:rPr>
      </w:pPr>
      <w:r w:rsidRPr="009F7FF6">
        <w:rPr>
          <w:rFonts w:cs="Times New Roman"/>
        </w:rPr>
        <w:t xml:space="preserve">Eric Hobsbawm, “What Do Historians Owe to Karl Marx?” and “Marx and History” in </w:t>
      </w:r>
      <w:r w:rsidRPr="009F7FF6">
        <w:rPr>
          <w:rFonts w:cs="Times New Roman"/>
          <w:i/>
        </w:rPr>
        <w:t>On History</w:t>
      </w:r>
      <w:r w:rsidRPr="009F7FF6">
        <w:rPr>
          <w:rFonts w:cs="Times New Roman"/>
        </w:rPr>
        <w:t xml:space="preserve"> (New York: The New Press, 1997), 141-70</w:t>
      </w:r>
      <w:r>
        <w:rPr>
          <w:rFonts w:cs="Times New Roman"/>
        </w:rPr>
        <w:t>.</w:t>
      </w:r>
    </w:p>
    <w:p w14:paraId="64D14D81" w14:textId="77777777" w:rsidR="00A03F94" w:rsidRDefault="00A03F94" w:rsidP="00DB4B52">
      <w:pPr>
        <w:rPr>
          <w:rFonts w:cs="Times New Roman"/>
        </w:rPr>
      </w:pPr>
    </w:p>
    <w:p w14:paraId="74A1564E" w14:textId="078C1142" w:rsidR="00DB4B52" w:rsidRPr="00FA1B4E" w:rsidRDefault="00DB4B52" w:rsidP="00DB4B52">
      <w:r>
        <w:rPr>
          <w:rFonts w:cs="Times New Roman"/>
        </w:rPr>
        <w:t xml:space="preserve">Robin R.G. Kelley, </w:t>
      </w:r>
      <w:r>
        <w:rPr>
          <w:rFonts w:cs="Times New Roman"/>
          <w:i/>
        </w:rPr>
        <w:t>Race Rebels: Culture, Politics, and the Black Working Class</w:t>
      </w:r>
      <w:r>
        <w:rPr>
          <w:rFonts w:cs="Times New Roman"/>
        </w:rPr>
        <w:t xml:space="preserve"> (New York: The Free Press, 1994).</w:t>
      </w:r>
    </w:p>
    <w:p w14:paraId="29C34508" w14:textId="77777777" w:rsidR="00DB4B52" w:rsidRPr="009F7FF6" w:rsidRDefault="00DB4B52" w:rsidP="00991A9E">
      <w:pPr>
        <w:rPr>
          <w:rFonts w:cs="Times New Roman"/>
        </w:rPr>
      </w:pPr>
    </w:p>
    <w:p w14:paraId="152FD76B" w14:textId="7E25E8E0" w:rsidR="0097634D" w:rsidRDefault="0098614E" w:rsidP="0097634D">
      <w:pPr>
        <w:rPr>
          <w:rFonts w:cs="Times New Roman"/>
          <w:b/>
        </w:rPr>
      </w:pPr>
      <w:r w:rsidRPr="009F7FF6">
        <w:rPr>
          <w:rFonts w:cs="Times New Roman"/>
          <w:b/>
        </w:rPr>
        <w:t>February 1:</w:t>
      </w:r>
      <w:r w:rsidR="0097634D">
        <w:rPr>
          <w:rFonts w:cs="Times New Roman"/>
          <w:b/>
        </w:rPr>
        <w:t xml:space="preserve"> </w:t>
      </w:r>
      <w:r w:rsidR="0097634D">
        <w:rPr>
          <w:rFonts w:cs="Times New Roman"/>
          <w:b/>
        </w:rPr>
        <w:tab/>
      </w:r>
      <w:r w:rsidR="0097634D">
        <w:rPr>
          <w:rFonts w:cs="Times New Roman"/>
          <w:b/>
        </w:rPr>
        <w:tab/>
      </w:r>
      <w:r w:rsidR="0097634D">
        <w:rPr>
          <w:rFonts w:cs="Times New Roman"/>
          <w:b/>
        </w:rPr>
        <w:tab/>
      </w:r>
      <w:r w:rsidR="0097634D">
        <w:rPr>
          <w:rFonts w:cs="Times New Roman"/>
          <w:b/>
        </w:rPr>
        <w:tab/>
        <w:t>The Annales School</w:t>
      </w:r>
      <w:r w:rsidRPr="009F7FF6">
        <w:rPr>
          <w:rFonts w:cs="Times New Roman"/>
          <w:b/>
        </w:rPr>
        <w:t xml:space="preserve"> </w:t>
      </w:r>
      <w:r w:rsidRPr="009F7FF6">
        <w:rPr>
          <w:rFonts w:cs="Times New Roman"/>
          <w:b/>
        </w:rPr>
        <w:tab/>
      </w:r>
      <w:r w:rsidRPr="009F7FF6">
        <w:rPr>
          <w:rFonts w:cs="Times New Roman"/>
          <w:b/>
        </w:rPr>
        <w:tab/>
      </w:r>
      <w:r w:rsidRPr="009F7FF6">
        <w:rPr>
          <w:rFonts w:cs="Times New Roman"/>
          <w:b/>
        </w:rPr>
        <w:tab/>
      </w:r>
      <w:r w:rsidR="009C214C">
        <w:rPr>
          <w:rFonts w:cs="Times New Roman"/>
          <w:b/>
        </w:rPr>
        <w:tab/>
      </w:r>
    </w:p>
    <w:p w14:paraId="2770652C" w14:textId="7B9B2F43" w:rsidR="0097634D" w:rsidRPr="009F7FF6" w:rsidRDefault="0097634D" w:rsidP="0097634D">
      <w:r w:rsidRPr="009F7FF6">
        <w:t xml:space="preserve">Lucien Febvre, “History and psychology,” in Peter Burke, ed., </w:t>
      </w:r>
      <w:r w:rsidRPr="009F7FF6">
        <w:rPr>
          <w:i/>
        </w:rPr>
        <w:t>A New Kind of History from the Writings of Febvre</w:t>
      </w:r>
      <w:r w:rsidRPr="009F7FF6">
        <w:t xml:space="preserve"> (New York: Harper &amp; Row, 1973), 1-11</w:t>
      </w:r>
      <w:r w:rsidR="001311F8">
        <w:t>.</w:t>
      </w:r>
    </w:p>
    <w:p w14:paraId="1DE61C88" w14:textId="77777777" w:rsidR="0097634D" w:rsidRPr="009F7FF6" w:rsidRDefault="0097634D" w:rsidP="0097634D"/>
    <w:p w14:paraId="1FE15531" w14:textId="0B71062B" w:rsidR="0097634D" w:rsidRPr="009F7FF6" w:rsidRDefault="0097634D" w:rsidP="0097634D">
      <w:r w:rsidRPr="009F7FF6">
        <w:t xml:space="preserve">Fernand Braudel, “History and the Social Sciences: The </w:t>
      </w:r>
      <w:r w:rsidRPr="009F7FF6">
        <w:rPr>
          <w:i/>
        </w:rPr>
        <w:t>Longue durée</w:t>
      </w:r>
      <w:r w:rsidRPr="009F7FF6">
        <w:t xml:space="preserve">,” in </w:t>
      </w:r>
      <w:r w:rsidRPr="009F7FF6">
        <w:rPr>
          <w:i/>
        </w:rPr>
        <w:t>On History</w:t>
      </w:r>
      <w:r w:rsidRPr="009F7FF6">
        <w:t>, trans. Sarah Matthews (Chicago: The University of Chicago Press, 1980), 25-54</w:t>
      </w:r>
      <w:r w:rsidR="001311F8">
        <w:t>.</w:t>
      </w:r>
    </w:p>
    <w:p w14:paraId="228DECBA" w14:textId="77777777" w:rsidR="0097634D" w:rsidRPr="009F7FF6" w:rsidRDefault="0097634D" w:rsidP="0097634D">
      <w:pPr>
        <w:ind w:left="360" w:hanging="360"/>
      </w:pPr>
    </w:p>
    <w:p w14:paraId="39BF70B1" w14:textId="0A065799" w:rsidR="0097634D" w:rsidRPr="00735422" w:rsidRDefault="0097634D" w:rsidP="0097634D">
      <w:pPr>
        <w:rPr>
          <w:rFonts w:cs="Times New Roman"/>
        </w:rPr>
      </w:pPr>
      <w:r w:rsidRPr="009F7FF6">
        <w:rPr>
          <w:rFonts w:cs="Times New Roman"/>
        </w:rPr>
        <w:t xml:space="preserve">Jacques Le Goff, </w:t>
      </w:r>
      <w:r w:rsidR="00735422">
        <w:rPr>
          <w:rFonts w:cs="Times New Roman"/>
        </w:rPr>
        <w:t xml:space="preserve">“Part I: Time and Labor,” “Part II: Labor and Value Systems” and “Part IV: Towards a Historical Anthropology,” </w:t>
      </w:r>
      <w:r w:rsidRPr="009F7FF6">
        <w:rPr>
          <w:rFonts w:cs="Times New Roman"/>
          <w:i/>
        </w:rPr>
        <w:t>Time, Work, and Culture in the Middle Ages</w:t>
      </w:r>
      <w:r w:rsidR="00735422">
        <w:rPr>
          <w:rFonts w:cs="Times New Roman"/>
        </w:rPr>
        <w:t xml:space="preserve"> (Chicago: Chicago University Press, 1980).</w:t>
      </w:r>
    </w:p>
    <w:p w14:paraId="0052F6F8" w14:textId="77777777" w:rsidR="0097634D" w:rsidRDefault="0097634D" w:rsidP="0097634D">
      <w:pPr>
        <w:rPr>
          <w:rFonts w:cs="Times New Roman"/>
          <w:i/>
        </w:rPr>
      </w:pPr>
    </w:p>
    <w:p w14:paraId="1D03401E" w14:textId="77777777" w:rsidR="001C471B" w:rsidRPr="009F7FF6" w:rsidRDefault="001C471B" w:rsidP="0097634D">
      <w:pPr>
        <w:rPr>
          <w:rFonts w:cs="Times New Roman"/>
          <w:i/>
        </w:rPr>
      </w:pPr>
    </w:p>
    <w:p w14:paraId="44C3DE0D" w14:textId="0F63C2E1" w:rsidR="00DB4B52" w:rsidRDefault="0097634D" w:rsidP="0098614E">
      <w:pPr>
        <w:rPr>
          <w:rFonts w:cs="Times New Roman"/>
          <w:b/>
        </w:rPr>
      </w:pPr>
      <w:r>
        <w:rPr>
          <w:rFonts w:cs="Times New Roman"/>
          <w:b/>
        </w:rPr>
        <w:t>February 8:</w:t>
      </w:r>
      <w:r>
        <w:rPr>
          <w:rFonts w:cs="Times New Roman"/>
          <w:b/>
        </w:rPr>
        <w:tab/>
      </w:r>
      <w:r>
        <w:rPr>
          <w:rFonts w:cs="Times New Roman"/>
          <w:b/>
        </w:rPr>
        <w:tab/>
      </w:r>
      <w:r>
        <w:rPr>
          <w:rFonts w:cs="Times New Roman"/>
          <w:b/>
        </w:rPr>
        <w:tab/>
      </w:r>
      <w:r>
        <w:rPr>
          <w:rFonts w:cs="Times New Roman"/>
          <w:b/>
        </w:rPr>
        <w:tab/>
      </w:r>
      <w:r w:rsidR="00DB4B52">
        <w:rPr>
          <w:rFonts w:cs="Times New Roman"/>
          <w:b/>
        </w:rPr>
        <w:t xml:space="preserve">Knowledge, </w:t>
      </w:r>
      <w:r>
        <w:rPr>
          <w:rFonts w:cs="Times New Roman"/>
          <w:b/>
        </w:rPr>
        <w:t xml:space="preserve">Power, </w:t>
      </w:r>
      <w:r w:rsidR="00DB4B52">
        <w:rPr>
          <w:rFonts w:cs="Times New Roman"/>
          <w:b/>
        </w:rPr>
        <w:t>and the Other</w:t>
      </w:r>
    </w:p>
    <w:p w14:paraId="03F32CF5" w14:textId="68AC7D78" w:rsidR="00DB4B52" w:rsidRPr="009F7FF6" w:rsidRDefault="00DB4B52" w:rsidP="00DB4B52">
      <w:pPr>
        <w:rPr>
          <w:rFonts w:cs="Times New Roman"/>
        </w:rPr>
      </w:pPr>
      <w:r w:rsidRPr="009F7FF6">
        <w:rPr>
          <w:rFonts w:cs="Times New Roman"/>
        </w:rPr>
        <w:t xml:space="preserve">Thomas S. Kuhn, </w:t>
      </w:r>
      <w:r w:rsidRPr="009F7FF6">
        <w:rPr>
          <w:rFonts w:cs="Times New Roman"/>
          <w:i/>
        </w:rPr>
        <w:t>The Structure of Scientific Revolutions</w:t>
      </w:r>
      <w:r w:rsidRPr="009F7FF6">
        <w:rPr>
          <w:rFonts w:cs="Times New Roman"/>
        </w:rPr>
        <w:t xml:space="preserve"> (Chicago: The University of Chicago Press, 2012)</w:t>
      </w:r>
      <w:r w:rsidR="006E0FBB">
        <w:rPr>
          <w:rFonts w:cs="Times New Roman"/>
        </w:rPr>
        <w:t>, excerpts</w:t>
      </w:r>
      <w:r w:rsidR="00016866">
        <w:rPr>
          <w:rFonts w:cs="Times New Roman"/>
        </w:rPr>
        <w:t>.</w:t>
      </w:r>
    </w:p>
    <w:p w14:paraId="23106103" w14:textId="77777777" w:rsidR="00DB4B52" w:rsidRPr="009F7FF6" w:rsidRDefault="00DB4B52" w:rsidP="00DB4B52">
      <w:pPr>
        <w:rPr>
          <w:rFonts w:cs="Times New Roman"/>
        </w:rPr>
      </w:pPr>
    </w:p>
    <w:p w14:paraId="466677CC" w14:textId="354D11F2" w:rsidR="00DB4B52" w:rsidRPr="00016866" w:rsidRDefault="00DB4B52" w:rsidP="00DB4B52">
      <w:pPr>
        <w:rPr>
          <w:rFonts w:cs="Times New Roman"/>
        </w:rPr>
      </w:pPr>
      <w:r w:rsidRPr="009F7FF6">
        <w:rPr>
          <w:rFonts w:cs="Times New Roman"/>
        </w:rPr>
        <w:t>Michel Foucault,</w:t>
      </w:r>
      <w:r w:rsidR="0034490E">
        <w:rPr>
          <w:rFonts w:cs="Times New Roman"/>
        </w:rPr>
        <w:t xml:space="preserve"> Part III: Discipline,” in</w:t>
      </w:r>
      <w:r w:rsidRPr="009F7FF6">
        <w:rPr>
          <w:rFonts w:cs="Times New Roman"/>
        </w:rPr>
        <w:t xml:space="preserve"> </w:t>
      </w:r>
      <w:r w:rsidRPr="009F7FF6">
        <w:rPr>
          <w:rFonts w:cs="Times New Roman"/>
          <w:i/>
        </w:rPr>
        <w:t>Discipline and Punish</w:t>
      </w:r>
      <w:r w:rsidR="00016866">
        <w:rPr>
          <w:rFonts w:cs="Times New Roman"/>
          <w:i/>
        </w:rPr>
        <w:t xml:space="preserve"> </w:t>
      </w:r>
      <w:r w:rsidR="00016866">
        <w:rPr>
          <w:rFonts w:cs="Times New Roman"/>
        </w:rPr>
        <w:t>(New York: Vintage Books, 1995, 1977</w:t>
      </w:r>
      <w:r w:rsidR="00345C49">
        <w:rPr>
          <w:rFonts w:cs="Times New Roman"/>
        </w:rPr>
        <w:t>).</w:t>
      </w:r>
    </w:p>
    <w:p w14:paraId="640EA06E" w14:textId="77777777" w:rsidR="00DB4B52" w:rsidRPr="009F7FF6" w:rsidRDefault="00DB4B52" w:rsidP="00DB4B52">
      <w:pPr>
        <w:rPr>
          <w:rFonts w:cs="Times New Roman"/>
        </w:rPr>
      </w:pPr>
    </w:p>
    <w:p w14:paraId="202D7534" w14:textId="68B62F41" w:rsidR="00DB4B52" w:rsidRPr="009F7FF6" w:rsidRDefault="00DB4B52" w:rsidP="00DB4B52">
      <w:pPr>
        <w:rPr>
          <w:rFonts w:cs="Times New Roman"/>
        </w:rPr>
      </w:pPr>
      <w:r w:rsidRPr="009F7FF6">
        <w:rPr>
          <w:rFonts w:cs="Times New Roman"/>
        </w:rPr>
        <w:t xml:space="preserve">Sylvia Wynter, “Unsettling the Coloniality of Being/Power/Truth/Freedom: Towards the Human, After Man, Its Overrepresentation—An Argument,” </w:t>
      </w:r>
      <w:r w:rsidRPr="009F7FF6">
        <w:rPr>
          <w:rFonts w:cs="Times New Roman"/>
          <w:i/>
        </w:rPr>
        <w:t>The New Centennial Review</w:t>
      </w:r>
      <w:r w:rsidRPr="009F7FF6">
        <w:rPr>
          <w:rFonts w:cs="Times New Roman"/>
        </w:rPr>
        <w:t xml:space="preserve"> 3.3. (2003)</w:t>
      </w:r>
      <w:r w:rsidR="0034490E">
        <w:rPr>
          <w:rFonts w:cs="Times New Roman"/>
        </w:rPr>
        <w:t>:</w:t>
      </w:r>
      <w:r w:rsidRPr="009F7FF6">
        <w:rPr>
          <w:rFonts w:cs="Times New Roman"/>
        </w:rPr>
        <w:t xml:space="preserve"> 257-337.</w:t>
      </w:r>
    </w:p>
    <w:p w14:paraId="5CE42B33" w14:textId="77777777" w:rsidR="00DB4B52" w:rsidRDefault="00DB4B52" w:rsidP="0098614E">
      <w:pPr>
        <w:rPr>
          <w:rFonts w:cs="Times New Roman"/>
          <w:b/>
        </w:rPr>
      </w:pPr>
    </w:p>
    <w:p w14:paraId="2C402391" w14:textId="56F15134" w:rsidR="0098614E" w:rsidRPr="009F7FF6" w:rsidRDefault="0034490E" w:rsidP="0034490E">
      <w:pPr>
        <w:rPr>
          <w:rFonts w:cs="Times New Roman"/>
          <w:b/>
        </w:rPr>
      </w:pPr>
      <w:r>
        <w:rPr>
          <w:rFonts w:cs="Times New Roman"/>
          <w:b/>
        </w:rPr>
        <w:t xml:space="preserve">February </w:t>
      </w:r>
      <w:r w:rsidR="0097634D">
        <w:rPr>
          <w:rFonts w:cs="Times New Roman"/>
          <w:b/>
        </w:rPr>
        <w:t>15</w:t>
      </w:r>
      <w:r>
        <w:rPr>
          <w:rFonts w:cs="Times New Roman"/>
          <w:b/>
        </w:rPr>
        <w:t>:</w:t>
      </w:r>
      <w:r>
        <w:rPr>
          <w:rFonts w:cs="Times New Roman"/>
          <w:b/>
        </w:rPr>
        <w:tab/>
      </w:r>
      <w:r>
        <w:rPr>
          <w:rFonts w:cs="Times New Roman"/>
          <w:b/>
        </w:rPr>
        <w:tab/>
      </w:r>
      <w:r>
        <w:rPr>
          <w:rFonts w:cs="Times New Roman"/>
          <w:b/>
        </w:rPr>
        <w:tab/>
      </w:r>
      <w:r>
        <w:rPr>
          <w:rFonts w:cs="Times New Roman"/>
          <w:b/>
        </w:rPr>
        <w:tab/>
      </w:r>
      <w:r w:rsidR="009C214C">
        <w:rPr>
          <w:rFonts w:cs="Times New Roman"/>
          <w:b/>
        </w:rPr>
        <w:t xml:space="preserve">Interrupting </w:t>
      </w:r>
      <w:r w:rsidR="0097634D">
        <w:rPr>
          <w:rFonts w:cs="Times New Roman"/>
          <w:b/>
        </w:rPr>
        <w:t>Power</w:t>
      </w:r>
      <w:r w:rsidR="009C214C">
        <w:rPr>
          <w:rFonts w:cs="Times New Roman"/>
          <w:b/>
        </w:rPr>
        <w:t>: the Archive, Race, Indigeneity</w:t>
      </w:r>
    </w:p>
    <w:p w14:paraId="218B12BF" w14:textId="303FAF40" w:rsidR="0098614E" w:rsidRPr="009F7FF6" w:rsidRDefault="0098614E" w:rsidP="0098614E">
      <w:pPr>
        <w:rPr>
          <w:rFonts w:cs="Times New Roman"/>
        </w:rPr>
      </w:pPr>
      <w:r w:rsidRPr="009F7FF6">
        <w:rPr>
          <w:rFonts w:cs="Times New Roman"/>
        </w:rPr>
        <w:t xml:space="preserve">Michel-Rolph Trouillot, </w:t>
      </w:r>
      <w:r w:rsidRPr="009F7FF6">
        <w:rPr>
          <w:rFonts w:cs="Times New Roman"/>
          <w:i/>
        </w:rPr>
        <w:t>Silencing the Past: Power and the Production of History</w:t>
      </w:r>
      <w:r w:rsidR="003B2F12">
        <w:rPr>
          <w:rFonts w:cs="Times New Roman"/>
        </w:rPr>
        <w:t>, (Boston: Beacon Press, 1995)</w:t>
      </w:r>
      <w:r w:rsidRPr="009F7FF6">
        <w:rPr>
          <w:rFonts w:cs="Times New Roman"/>
        </w:rPr>
        <w:t xml:space="preserve">. </w:t>
      </w:r>
    </w:p>
    <w:p w14:paraId="6F5AF908" w14:textId="77777777" w:rsidR="0098614E" w:rsidRPr="009F7FF6" w:rsidRDefault="0098614E" w:rsidP="0098614E">
      <w:pPr>
        <w:rPr>
          <w:rFonts w:cs="Times New Roman"/>
        </w:rPr>
      </w:pPr>
    </w:p>
    <w:p w14:paraId="1010AB55" w14:textId="1632ED8A" w:rsidR="0098614E" w:rsidRDefault="0098614E" w:rsidP="0098614E">
      <w:pPr>
        <w:rPr>
          <w:rFonts w:cs="Times New Roman"/>
        </w:rPr>
      </w:pPr>
      <w:r w:rsidRPr="009F7FF6">
        <w:rPr>
          <w:rFonts w:cs="Times New Roman"/>
        </w:rPr>
        <w:t xml:space="preserve">Audra Simpson, </w:t>
      </w:r>
      <w:r w:rsidR="003B2F12">
        <w:rPr>
          <w:rFonts w:cs="Times New Roman"/>
        </w:rPr>
        <w:t xml:space="preserve">“Chapter One: Indigenous Interruptions: Mohawk Nationhood, Citizenship, </w:t>
      </w:r>
      <w:r w:rsidR="003B2F12" w:rsidRPr="003B2F12">
        <w:rPr>
          <w:rFonts w:cs="Times New Roman"/>
        </w:rPr>
        <w:t>and the State” and “Chapter Two: A Brief History of Land, Meaning and Membership in Iroquoia and Kahnaw</w:t>
      </w:r>
      <w:r w:rsidR="003B2F12" w:rsidRPr="003B2F12">
        <w:rPr>
          <w:rFonts w:cs="Tahoma"/>
        </w:rPr>
        <w:t>à</w:t>
      </w:r>
      <w:r w:rsidR="003B2F12" w:rsidRPr="003B2F12">
        <w:rPr>
          <w:rFonts w:cs="Times New Roman"/>
        </w:rPr>
        <w:t>:ke</w:t>
      </w:r>
      <w:r w:rsidR="003B2F12">
        <w:rPr>
          <w:rFonts w:cs="Times New Roman"/>
        </w:rPr>
        <w:t xml:space="preserve">,” in </w:t>
      </w:r>
      <w:r w:rsidRPr="009F7FF6">
        <w:rPr>
          <w:rFonts w:cs="Times New Roman"/>
          <w:i/>
        </w:rPr>
        <w:t>Mohawk Interruptus: Political Life Across the Borders of Settler States</w:t>
      </w:r>
      <w:r w:rsidR="00CA34C1">
        <w:rPr>
          <w:rFonts w:cs="Times New Roman"/>
        </w:rPr>
        <w:t xml:space="preserve"> (Durham, NC: Duke University Press,</w:t>
      </w:r>
      <w:r w:rsidR="003B2F12">
        <w:rPr>
          <w:rFonts w:cs="Times New Roman"/>
        </w:rPr>
        <w:t xml:space="preserve"> 2014).</w:t>
      </w:r>
    </w:p>
    <w:p w14:paraId="2D0BB25D" w14:textId="77777777" w:rsidR="00CA34C1" w:rsidRDefault="00CA34C1" w:rsidP="0098614E">
      <w:pPr>
        <w:rPr>
          <w:rFonts w:cs="Times New Roman"/>
        </w:rPr>
      </w:pPr>
    </w:p>
    <w:p w14:paraId="37A88857" w14:textId="5FD8C9C7" w:rsidR="00CA34C1" w:rsidRDefault="00CA34C1" w:rsidP="0098614E">
      <w:pPr>
        <w:rPr>
          <w:rFonts w:cs="Times New Roman"/>
        </w:rPr>
      </w:pPr>
      <w:r>
        <w:rPr>
          <w:rFonts w:cs="Times New Roman"/>
        </w:rPr>
        <w:t>Recommended:</w:t>
      </w:r>
    </w:p>
    <w:p w14:paraId="135DFA38" w14:textId="45463CD8" w:rsidR="00E71879" w:rsidRDefault="00E71879" w:rsidP="00E71879">
      <w:pPr>
        <w:rPr>
          <w:rFonts w:cs="Times New Roman"/>
        </w:rPr>
      </w:pPr>
      <w:r w:rsidRPr="009F7FF6">
        <w:rPr>
          <w:rFonts w:cs="Times New Roman"/>
        </w:rPr>
        <w:t>Susan Buck-Morss, “Hegel and Haiti”</w:t>
      </w:r>
      <w:r>
        <w:rPr>
          <w:rFonts w:cs="Times New Roman"/>
        </w:rPr>
        <w:t xml:space="preserve"> </w:t>
      </w:r>
      <w:r>
        <w:rPr>
          <w:rFonts w:cs="Times New Roman"/>
          <w:i/>
        </w:rPr>
        <w:t>Critical Inquiry</w:t>
      </w:r>
      <w:r>
        <w:rPr>
          <w:rFonts w:cs="Times New Roman"/>
        </w:rPr>
        <w:t xml:space="preserve"> 26: 4 (Summer 2000): 821-865.</w:t>
      </w:r>
    </w:p>
    <w:p w14:paraId="6D0F0D79" w14:textId="77777777" w:rsidR="001C471B" w:rsidRDefault="001C471B" w:rsidP="00E71879">
      <w:pPr>
        <w:rPr>
          <w:rFonts w:cs="Times New Roman"/>
        </w:rPr>
      </w:pPr>
    </w:p>
    <w:p w14:paraId="03BED252" w14:textId="77777777" w:rsidR="001C471B" w:rsidRPr="0034490E" w:rsidRDefault="001C471B" w:rsidP="001C471B">
      <w:r>
        <w:t xml:space="preserve">Emma Perez, “Chapter One: Sexing the Colonial Imaginary: (En)gendering Chicano History, Theory, and Consciousness” and “Chapter Two: Feminism-in-Nationalism: Third Space Feminism in Yucatan’s Socialist Revolution,” in </w:t>
      </w:r>
      <w:r w:rsidRPr="003B2F12">
        <w:rPr>
          <w:i/>
        </w:rPr>
        <w:t>The</w:t>
      </w:r>
      <w:r w:rsidRPr="00AB3D73">
        <w:rPr>
          <w:i/>
        </w:rPr>
        <w:t xml:space="preserve"> Decolonial Imaginary</w:t>
      </w:r>
      <w:r>
        <w:rPr>
          <w:i/>
        </w:rPr>
        <w:t>: Writing Chicanas into History</w:t>
      </w:r>
      <w:r>
        <w:t>, (Bloomington: Indiana University Press, 1999).</w:t>
      </w:r>
    </w:p>
    <w:p w14:paraId="7584D3D0" w14:textId="77777777" w:rsidR="001C471B" w:rsidRDefault="001C471B" w:rsidP="00E71879">
      <w:pPr>
        <w:rPr>
          <w:rFonts w:cs="Times New Roman"/>
        </w:rPr>
      </w:pPr>
    </w:p>
    <w:p w14:paraId="7D6595F2" w14:textId="77777777" w:rsidR="00345C49" w:rsidRPr="0098614E" w:rsidRDefault="00345C49" w:rsidP="00E71879">
      <w:pPr>
        <w:rPr>
          <w:rFonts w:cs="Times New Roman"/>
        </w:rPr>
      </w:pPr>
    </w:p>
    <w:p w14:paraId="6340D198" w14:textId="77777777" w:rsidR="00A03F94" w:rsidRDefault="00345C49" w:rsidP="00A03F94">
      <w:pPr>
        <w:rPr>
          <w:rFonts w:cs="Times New Roman"/>
          <w:b/>
        </w:rPr>
      </w:pPr>
      <w:r>
        <w:rPr>
          <w:rFonts w:cs="Times New Roman"/>
          <w:b/>
        </w:rPr>
        <w:t xml:space="preserve">February </w:t>
      </w:r>
      <w:r w:rsidR="0097634D">
        <w:rPr>
          <w:rFonts w:cs="Times New Roman"/>
          <w:b/>
        </w:rPr>
        <w:t>22</w:t>
      </w:r>
      <w:r>
        <w:rPr>
          <w:rFonts w:cs="Times New Roman"/>
          <w:b/>
        </w:rPr>
        <w:t xml:space="preserve">: </w:t>
      </w:r>
      <w:r>
        <w:rPr>
          <w:rFonts w:cs="Times New Roman"/>
          <w:b/>
        </w:rPr>
        <w:tab/>
      </w:r>
      <w:r>
        <w:rPr>
          <w:rFonts w:cs="Times New Roman"/>
          <w:b/>
        </w:rPr>
        <w:tab/>
      </w:r>
      <w:r>
        <w:rPr>
          <w:rFonts w:cs="Times New Roman"/>
          <w:b/>
        </w:rPr>
        <w:tab/>
      </w:r>
      <w:r>
        <w:rPr>
          <w:rFonts w:cs="Times New Roman"/>
          <w:b/>
        </w:rPr>
        <w:tab/>
      </w:r>
      <w:r w:rsidR="00CF06C0">
        <w:rPr>
          <w:rFonts w:cs="Times New Roman"/>
          <w:b/>
        </w:rPr>
        <w:t xml:space="preserve">President’s Day </w:t>
      </w:r>
      <w:r w:rsidR="00A03F94">
        <w:rPr>
          <w:rFonts w:cs="Times New Roman"/>
          <w:b/>
        </w:rPr>
        <w:t>(Rescheduled to __________)</w:t>
      </w:r>
    </w:p>
    <w:p w14:paraId="3F0F354E" w14:textId="48B5A297" w:rsidR="00E71879" w:rsidRDefault="0034490E" w:rsidP="00A03F94">
      <w:pPr>
        <w:ind w:left="2880" w:firstLine="720"/>
        <w:rPr>
          <w:rFonts w:cs="Times New Roman"/>
          <w:b/>
        </w:rPr>
      </w:pPr>
      <w:r>
        <w:rPr>
          <w:rFonts w:cs="Times New Roman"/>
          <w:b/>
        </w:rPr>
        <w:t>Gendering History</w:t>
      </w:r>
    </w:p>
    <w:p w14:paraId="33A42991" w14:textId="3298FB05" w:rsidR="0034490E" w:rsidRPr="009F7FF6" w:rsidRDefault="0034490E" w:rsidP="0034490E">
      <w:pPr>
        <w:rPr>
          <w:rFonts w:cs="Times New Roman"/>
        </w:rPr>
      </w:pPr>
      <w:r w:rsidRPr="009F7FF6">
        <w:rPr>
          <w:rFonts w:cs="Times New Roman"/>
        </w:rPr>
        <w:t xml:space="preserve">Joan W. Scott, “Gender: A Useful Category of Historical Analysis,” </w:t>
      </w:r>
      <w:r w:rsidRPr="009F7FF6">
        <w:rPr>
          <w:rFonts w:cs="Times New Roman"/>
          <w:i/>
        </w:rPr>
        <w:t>American Historical Review</w:t>
      </w:r>
      <w:r w:rsidRPr="009F7FF6">
        <w:rPr>
          <w:rFonts w:cs="Times New Roman"/>
        </w:rPr>
        <w:t xml:space="preserve"> 91, no. 5 (December 1986): 1053-1075</w:t>
      </w:r>
      <w:r w:rsidR="003B2F12">
        <w:rPr>
          <w:rFonts w:cs="Times New Roman"/>
        </w:rPr>
        <w:t>.</w:t>
      </w:r>
    </w:p>
    <w:p w14:paraId="3BDB78FE" w14:textId="77777777" w:rsidR="0034490E" w:rsidRPr="009F7FF6" w:rsidRDefault="0034490E" w:rsidP="0034490E">
      <w:pPr>
        <w:ind w:left="360" w:hanging="360"/>
        <w:rPr>
          <w:rFonts w:cs="Times New Roman"/>
        </w:rPr>
      </w:pPr>
    </w:p>
    <w:p w14:paraId="6DBD6F87" w14:textId="31E2AC69" w:rsidR="0034490E" w:rsidRPr="009F7FF6" w:rsidRDefault="0034490E" w:rsidP="0034490E">
      <w:pPr>
        <w:rPr>
          <w:rFonts w:cs="Times New Roman"/>
        </w:rPr>
      </w:pPr>
      <w:r w:rsidRPr="009F7FF6">
        <w:rPr>
          <w:rFonts w:cs="Times New Roman"/>
        </w:rPr>
        <w:t xml:space="preserve">Afsaneh Najmabadi, “Beyond the Americas: Are Gender and Sexuality Useful Categories of Historical Analysis?” </w:t>
      </w:r>
      <w:r w:rsidRPr="009F7FF6">
        <w:rPr>
          <w:rFonts w:cs="Times New Roman"/>
          <w:i/>
        </w:rPr>
        <w:t xml:space="preserve">Journal of Women’s History </w:t>
      </w:r>
      <w:r w:rsidRPr="009F7FF6">
        <w:rPr>
          <w:rFonts w:cs="Times New Roman"/>
        </w:rPr>
        <w:t>18, no. 1 (spring 2006): 11-21</w:t>
      </w:r>
    </w:p>
    <w:p w14:paraId="176C8448" w14:textId="77777777" w:rsidR="0034490E" w:rsidRPr="009F7FF6" w:rsidRDefault="0034490E" w:rsidP="0034490E">
      <w:pPr>
        <w:rPr>
          <w:rFonts w:cs="Times New Roman"/>
        </w:rPr>
      </w:pPr>
    </w:p>
    <w:p w14:paraId="135F15F3" w14:textId="5FFCF775" w:rsidR="00345C49" w:rsidRPr="00345C49" w:rsidRDefault="00345C49" w:rsidP="00345C49">
      <w:pPr>
        <w:rPr>
          <w:rFonts w:cs="Times New Roman"/>
        </w:rPr>
      </w:pPr>
      <w:r>
        <w:rPr>
          <w:rFonts w:cs="Times New Roman"/>
        </w:rPr>
        <w:t xml:space="preserve">Judith Butler, </w:t>
      </w:r>
      <w:r w:rsidRPr="009F7FF6">
        <w:rPr>
          <w:rFonts w:cs="Times New Roman"/>
          <w:i/>
        </w:rPr>
        <w:t>Gender Trouble</w:t>
      </w:r>
      <w:r>
        <w:rPr>
          <w:rFonts w:cs="Times New Roman"/>
          <w:i/>
        </w:rPr>
        <w:t>: Feminism and the Subversion of Identity</w:t>
      </w:r>
      <w:r>
        <w:rPr>
          <w:rFonts w:cs="Times New Roman"/>
        </w:rPr>
        <w:t xml:space="preserve"> (New York: Routledge, 1999).</w:t>
      </w:r>
    </w:p>
    <w:p w14:paraId="049CBAE8" w14:textId="77777777" w:rsidR="0034490E" w:rsidRDefault="0034490E" w:rsidP="0098614E">
      <w:pPr>
        <w:rPr>
          <w:rFonts w:cs="Times New Roman"/>
          <w:b/>
        </w:rPr>
      </w:pPr>
    </w:p>
    <w:p w14:paraId="7B2B43AF" w14:textId="77777777" w:rsidR="00A03F94" w:rsidRPr="0034490E" w:rsidRDefault="00A03F94" w:rsidP="0098614E">
      <w:pPr>
        <w:rPr>
          <w:rFonts w:cs="Times New Roman"/>
          <w:b/>
        </w:rPr>
      </w:pPr>
    </w:p>
    <w:p w14:paraId="796DD62C" w14:textId="5182DC4B" w:rsidR="00CF06C0" w:rsidRDefault="00CF06C0">
      <w:pPr>
        <w:rPr>
          <w:b/>
        </w:rPr>
      </w:pPr>
      <w:r>
        <w:rPr>
          <w:b/>
        </w:rPr>
        <w:t>February 29:</w:t>
      </w:r>
      <w:r>
        <w:rPr>
          <w:b/>
        </w:rPr>
        <w:tab/>
      </w:r>
      <w:r>
        <w:rPr>
          <w:b/>
        </w:rPr>
        <w:tab/>
      </w:r>
      <w:r>
        <w:rPr>
          <w:b/>
        </w:rPr>
        <w:tab/>
      </w:r>
      <w:r>
        <w:rPr>
          <w:b/>
        </w:rPr>
        <w:tab/>
        <w:t>The Cultural Turn</w:t>
      </w:r>
    </w:p>
    <w:p w14:paraId="2433544A" w14:textId="06AE3001" w:rsidR="00CF06C0" w:rsidRPr="009F7FF6" w:rsidRDefault="00CF06C0" w:rsidP="00CF06C0">
      <w:pPr>
        <w:rPr>
          <w:rFonts w:cs="Times New Roman"/>
        </w:rPr>
      </w:pPr>
      <w:r w:rsidRPr="009F7FF6">
        <w:rPr>
          <w:rFonts w:cs="Times New Roman"/>
        </w:rPr>
        <w:t xml:space="preserve">Lynn Hunt, “Introduction: History, Culture, and Text” in </w:t>
      </w:r>
      <w:r w:rsidRPr="009F7FF6">
        <w:rPr>
          <w:rFonts w:cs="Times New Roman"/>
          <w:i/>
        </w:rPr>
        <w:t>The New Cultural History</w:t>
      </w:r>
      <w:r w:rsidRPr="009F7FF6">
        <w:rPr>
          <w:rFonts w:cs="Times New Roman"/>
        </w:rPr>
        <w:t xml:space="preserve"> (Berkeley: University of California Press, 1989), 1-22</w:t>
      </w:r>
      <w:r w:rsidR="00735422">
        <w:rPr>
          <w:rFonts w:cs="Times New Roman"/>
        </w:rPr>
        <w:t>.</w:t>
      </w:r>
    </w:p>
    <w:p w14:paraId="603550D4" w14:textId="77777777" w:rsidR="00CF06C0" w:rsidRPr="009F7FF6" w:rsidRDefault="00CF06C0" w:rsidP="00CF06C0">
      <w:pPr>
        <w:rPr>
          <w:rFonts w:cs="Times New Roman"/>
        </w:rPr>
      </w:pPr>
    </w:p>
    <w:p w14:paraId="786ACCD3" w14:textId="63744A70" w:rsidR="00CF06C0" w:rsidRPr="009F7FF6" w:rsidRDefault="00CF06C0" w:rsidP="00CF06C0">
      <w:pPr>
        <w:rPr>
          <w:rFonts w:cs="Times New Roman"/>
        </w:rPr>
      </w:pPr>
      <w:r w:rsidRPr="009F7FF6">
        <w:rPr>
          <w:rFonts w:cs="Times New Roman"/>
        </w:rPr>
        <w:t xml:space="preserve">Robert Darnton, “Workers Revolt: The Great Cat Massacre of the Rue Saint-Séverin,” in </w:t>
      </w:r>
      <w:r w:rsidRPr="009F7FF6">
        <w:rPr>
          <w:rFonts w:cs="Times New Roman"/>
          <w:i/>
        </w:rPr>
        <w:t>The Great Cat Massacre and Other Episodes in French Cultural History</w:t>
      </w:r>
      <w:r w:rsidRPr="009F7FF6">
        <w:rPr>
          <w:rFonts w:cs="Times New Roman"/>
        </w:rPr>
        <w:t xml:space="preserve"> (New York: Vintage Books, 1984), 75-104</w:t>
      </w:r>
      <w:r w:rsidR="00735422">
        <w:rPr>
          <w:rFonts w:cs="Times New Roman"/>
        </w:rPr>
        <w:t>.</w:t>
      </w:r>
    </w:p>
    <w:p w14:paraId="683F3704" w14:textId="77777777" w:rsidR="00CF06C0" w:rsidRDefault="00CF06C0">
      <w:pPr>
        <w:rPr>
          <w:b/>
        </w:rPr>
      </w:pPr>
    </w:p>
    <w:p w14:paraId="3E538675" w14:textId="4ADFDD20" w:rsidR="001C658E" w:rsidRPr="001C658E" w:rsidRDefault="001C658E" w:rsidP="00CF06C0">
      <w:pPr>
        <w:rPr>
          <w:rFonts w:cs="Times New Roman"/>
        </w:rPr>
      </w:pPr>
      <w:r>
        <w:rPr>
          <w:rFonts w:cs="Times New Roman"/>
        </w:rPr>
        <w:t xml:space="preserve">Judith Walkowitz, “Chapter One: Urban Spectatorship,” “Chapter Two: Contested Terrain: New Social Actors,” and “Chapter Three: The Maiden Tribute of Modern Babylon,” in </w:t>
      </w:r>
      <w:r>
        <w:rPr>
          <w:rFonts w:cs="Times New Roman"/>
          <w:i/>
        </w:rPr>
        <w:t>City of Dreadful Delight: Narratives of Sexual Danger in Late Victorian London</w:t>
      </w:r>
      <w:r>
        <w:rPr>
          <w:rFonts w:cs="Times New Roman"/>
        </w:rPr>
        <w:t xml:space="preserve"> (Chicago: University of Chicago Press, 1992).</w:t>
      </w:r>
    </w:p>
    <w:p w14:paraId="55C4F827" w14:textId="77777777" w:rsidR="00CF06C0" w:rsidRDefault="00CF06C0">
      <w:pPr>
        <w:rPr>
          <w:b/>
        </w:rPr>
      </w:pPr>
    </w:p>
    <w:p w14:paraId="523EB4EB" w14:textId="77777777" w:rsidR="00A03F94" w:rsidRDefault="00CF06C0" w:rsidP="00B05CA0">
      <w:pPr>
        <w:rPr>
          <w:rFonts w:cs="Times New Roman"/>
          <w:b/>
        </w:rPr>
      </w:pPr>
      <w:r>
        <w:rPr>
          <w:b/>
        </w:rPr>
        <w:t>March 7</w:t>
      </w:r>
      <w:r w:rsidR="00345C49" w:rsidRPr="00CF06C0">
        <w:rPr>
          <w:b/>
        </w:rPr>
        <w:t xml:space="preserve">: </w:t>
      </w:r>
      <w:r>
        <w:rPr>
          <w:b/>
        </w:rPr>
        <w:tab/>
      </w:r>
      <w:r>
        <w:rPr>
          <w:b/>
        </w:rPr>
        <w:tab/>
      </w:r>
      <w:r>
        <w:rPr>
          <w:b/>
        </w:rPr>
        <w:tab/>
      </w:r>
      <w:r>
        <w:rPr>
          <w:b/>
        </w:rPr>
        <w:tab/>
        <w:t>The Subaltern School</w:t>
      </w:r>
      <w:r w:rsidR="0097634D">
        <w:rPr>
          <w:b/>
        </w:rPr>
        <w:t xml:space="preserve"> </w:t>
      </w:r>
      <w:r w:rsidR="00A03F94">
        <w:rPr>
          <w:rFonts w:cs="Times New Roman"/>
          <w:b/>
        </w:rPr>
        <w:t>(Rescheduled to __________)</w:t>
      </w:r>
    </w:p>
    <w:p w14:paraId="7EF51D72" w14:textId="4AAF8325" w:rsidR="00B05CA0" w:rsidRPr="00B05CA0" w:rsidRDefault="00B05CA0" w:rsidP="00B05CA0">
      <w:pPr>
        <w:rPr>
          <w:rFonts w:cs="Times New Roman"/>
          <w:b/>
        </w:rPr>
      </w:pPr>
      <w:r w:rsidRPr="009F7FF6">
        <w:rPr>
          <w:rFonts w:cs="Times New Roman"/>
        </w:rPr>
        <w:t xml:space="preserve">Gayatri Chakravorty Spivak, “Can the Subaltern Speak?” in Carry Nelson and Lawrence Grossberg (eds), </w:t>
      </w:r>
      <w:r w:rsidRPr="009F7FF6">
        <w:rPr>
          <w:rFonts w:cs="Times New Roman"/>
          <w:i/>
        </w:rPr>
        <w:t>Marxism and the Interpretation of Culture</w:t>
      </w:r>
      <w:r>
        <w:t xml:space="preserve"> (</w:t>
      </w:r>
      <w:r w:rsidRPr="009F7FF6">
        <w:rPr>
          <w:rFonts w:cs="Times New Roman"/>
        </w:rPr>
        <w:t>London: Macmillan, 1988</w:t>
      </w:r>
      <w:r>
        <w:t>)</w:t>
      </w:r>
      <w:r w:rsidRPr="009F7FF6">
        <w:rPr>
          <w:rFonts w:cs="Times New Roman"/>
        </w:rPr>
        <w:t xml:space="preserve">. </w:t>
      </w:r>
    </w:p>
    <w:p w14:paraId="79E3A3D2" w14:textId="77777777" w:rsidR="00B05CA0" w:rsidRDefault="00B05CA0" w:rsidP="00B05CA0">
      <w:pPr>
        <w:widowControl w:val="0"/>
        <w:autoSpaceDE w:val="0"/>
        <w:autoSpaceDN w:val="0"/>
        <w:adjustRightInd w:val="0"/>
        <w:rPr>
          <w:rFonts w:cs="Times New Roman"/>
        </w:rPr>
      </w:pPr>
    </w:p>
    <w:p w14:paraId="2D10AB4C" w14:textId="4D0954EC" w:rsidR="00B05CA0" w:rsidRDefault="00F76E0D" w:rsidP="00B05CA0">
      <w:pPr>
        <w:rPr>
          <w:rFonts w:cs="Times New Roman"/>
        </w:rPr>
      </w:pPr>
      <w:r>
        <w:rPr>
          <w:rFonts w:cs="Times New Roman"/>
        </w:rPr>
        <w:t xml:space="preserve">Dipesh </w:t>
      </w:r>
      <w:r w:rsidR="00B05CA0" w:rsidRPr="009F7FF6">
        <w:rPr>
          <w:rFonts w:cs="Times New Roman"/>
        </w:rPr>
        <w:t>Chakrabarty,</w:t>
      </w:r>
      <w:r w:rsidR="001C471B">
        <w:rPr>
          <w:rFonts w:cs="Times New Roman"/>
        </w:rPr>
        <w:t xml:space="preserve"> “Introduction” and “Part I: Historicism and the Narration of Modernity” in</w:t>
      </w:r>
      <w:r w:rsidR="00B05CA0" w:rsidRPr="009F7FF6">
        <w:rPr>
          <w:rFonts w:cs="Times New Roman"/>
        </w:rPr>
        <w:t xml:space="preserve"> </w:t>
      </w:r>
      <w:r w:rsidR="00B05CA0" w:rsidRPr="009F7FF6">
        <w:rPr>
          <w:rFonts w:cs="Times New Roman"/>
          <w:i/>
        </w:rPr>
        <w:t>Provinicalizing Europe</w:t>
      </w:r>
      <w:r w:rsidR="00B05CA0">
        <w:rPr>
          <w:rFonts w:cs="Times New Roman"/>
          <w:i/>
        </w:rPr>
        <w:t>: Postcolonial Thought and Historical Difference</w:t>
      </w:r>
      <w:r w:rsidR="00B05CA0">
        <w:rPr>
          <w:rFonts w:cs="Times New Roman"/>
        </w:rPr>
        <w:t xml:space="preserve"> (Princeton: Princeton University Press, 2000).</w:t>
      </w:r>
      <w:r>
        <w:rPr>
          <w:rFonts w:cs="Times New Roman"/>
        </w:rPr>
        <w:t xml:space="preserve"> </w:t>
      </w:r>
    </w:p>
    <w:p w14:paraId="6AEAEDC4" w14:textId="77777777" w:rsidR="00530914" w:rsidRDefault="00530914" w:rsidP="00B05CA0">
      <w:pPr>
        <w:rPr>
          <w:rFonts w:cs="Times New Roman"/>
        </w:rPr>
      </w:pPr>
    </w:p>
    <w:p w14:paraId="51B0679F" w14:textId="1A885F55" w:rsidR="00530914" w:rsidRPr="00530914" w:rsidRDefault="00530914" w:rsidP="00B05CA0">
      <w:pPr>
        <w:rPr>
          <w:rFonts w:cs="Times New Roman"/>
          <w:b/>
        </w:rPr>
      </w:pPr>
      <w:r>
        <w:rPr>
          <w:rFonts w:cs="Times New Roman"/>
        </w:rPr>
        <w:t xml:space="preserve">Vivek Chibber, “Chapter One: Postcolonial Theory and Subaltern Studies” and “Chapter Two: Dominance Without Hegemony,” in </w:t>
      </w:r>
      <w:r>
        <w:rPr>
          <w:rFonts w:cs="Times New Roman"/>
          <w:i/>
        </w:rPr>
        <w:t>Postcolonial Theory and the Specter of Capital</w:t>
      </w:r>
      <w:r>
        <w:rPr>
          <w:rFonts w:cs="Times New Roman"/>
        </w:rPr>
        <w:t xml:space="preserve"> (London: Verso, 2013).</w:t>
      </w:r>
    </w:p>
    <w:sectPr w:rsidR="00530914" w:rsidRPr="00530914" w:rsidSect="0074246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ABD87" w14:textId="77777777" w:rsidR="00631D8E" w:rsidRDefault="00631D8E" w:rsidP="00DF6E68">
      <w:r>
        <w:separator/>
      </w:r>
    </w:p>
  </w:endnote>
  <w:endnote w:type="continuationSeparator" w:id="0">
    <w:p w14:paraId="66008677" w14:textId="77777777" w:rsidR="00631D8E" w:rsidRDefault="00631D8E" w:rsidP="00DF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B4CCC" w14:textId="77777777" w:rsidR="00DF6E68" w:rsidRDefault="00DF6E68" w:rsidP="00D823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752DD0" w14:textId="77777777" w:rsidR="00DF6E68" w:rsidRDefault="00DF6E68" w:rsidP="00DF6E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DEBF6" w14:textId="77777777" w:rsidR="00DF6E68" w:rsidRDefault="00DF6E68" w:rsidP="00D823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1D8E">
      <w:rPr>
        <w:rStyle w:val="PageNumber"/>
        <w:noProof/>
      </w:rPr>
      <w:t>1</w:t>
    </w:r>
    <w:r>
      <w:rPr>
        <w:rStyle w:val="PageNumber"/>
      </w:rPr>
      <w:fldChar w:fldCharType="end"/>
    </w:r>
  </w:p>
  <w:p w14:paraId="4A098270" w14:textId="77777777" w:rsidR="00DF6E68" w:rsidRDefault="00DF6E68" w:rsidP="00DF6E6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B0299" w14:textId="77777777" w:rsidR="00631D8E" w:rsidRDefault="00631D8E" w:rsidP="00DF6E68">
      <w:r>
        <w:separator/>
      </w:r>
    </w:p>
  </w:footnote>
  <w:footnote w:type="continuationSeparator" w:id="0">
    <w:p w14:paraId="4F798E2F" w14:textId="77777777" w:rsidR="00631D8E" w:rsidRDefault="00631D8E" w:rsidP="00DF6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77"/>
    <w:rsid w:val="00005660"/>
    <w:rsid w:val="00016866"/>
    <w:rsid w:val="00025F4C"/>
    <w:rsid w:val="00096668"/>
    <w:rsid w:val="001076DC"/>
    <w:rsid w:val="00127177"/>
    <w:rsid w:val="001311F8"/>
    <w:rsid w:val="00146509"/>
    <w:rsid w:val="001605B1"/>
    <w:rsid w:val="001918C7"/>
    <w:rsid w:val="001C471B"/>
    <w:rsid w:val="001C62D0"/>
    <w:rsid w:val="001C658E"/>
    <w:rsid w:val="001D40EF"/>
    <w:rsid w:val="00275256"/>
    <w:rsid w:val="002F462B"/>
    <w:rsid w:val="00326FD8"/>
    <w:rsid w:val="00334FDD"/>
    <w:rsid w:val="0034490E"/>
    <w:rsid w:val="00345C49"/>
    <w:rsid w:val="003B0CCC"/>
    <w:rsid w:val="003B2F12"/>
    <w:rsid w:val="003C486A"/>
    <w:rsid w:val="003E4CC4"/>
    <w:rsid w:val="003E65A1"/>
    <w:rsid w:val="00436AB4"/>
    <w:rsid w:val="0048462A"/>
    <w:rsid w:val="00496149"/>
    <w:rsid w:val="004B2862"/>
    <w:rsid w:val="00504066"/>
    <w:rsid w:val="00530914"/>
    <w:rsid w:val="005414F2"/>
    <w:rsid w:val="00581F2A"/>
    <w:rsid w:val="0058301B"/>
    <w:rsid w:val="005F1108"/>
    <w:rsid w:val="00621861"/>
    <w:rsid w:val="00623932"/>
    <w:rsid w:val="00631D8E"/>
    <w:rsid w:val="006A254A"/>
    <w:rsid w:val="006E0FBB"/>
    <w:rsid w:val="006F327B"/>
    <w:rsid w:val="00722267"/>
    <w:rsid w:val="00735422"/>
    <w:rsid w:val="0074246C"/>
    <w:rsid w:val="007954A1"/>
    <w:rsid w:val="00853120"/>
    <w:rsid w:val="00862DE3"/>
    <w:rsid w:val="00863DC0"/>
    <w:rsid w:val="008873C2"/>
    <w:rsid w:val="008A765D"/>
    <w:rsid w:val="008E1C3E"/>
    <w:rsid w:val="00933210"/>
    <w:rsid w:val="00937F53"/>
    <w:rsid w:val="0097634D"/>
    <w:rsid w:val="0098614E"/>
    <w:rsid w:val="00991A9E"/>
    <w:rsid w:val="009C214C"/>
    <w:rsid w:val="00A03F94"/>
    <w:rsid w:val="00A10EE3"/>
    <w:rsid w:val="00A46159"/>
    <w:rsid w:val="00A54C4B"/>
    <w:rsid w:val="00A800F9"/>
    <w:rsid w:val="00AF5C2A"/>
    <w:rsid w:val="00B05CA0"/>
    <w:rsid w:val="00BB25CB"/>
    <w:rsid w:val="00C448B6"/>
    <w:rsid w:val="00C55E73"/>
    <w:rsid w:val="00C56CBD"/>
    <w:rsid w:val="00CA05AB"/>
    <w:rsid w:val="00CA34C1"/>
    <w:rsid w:val="00CF06C0"/>
    <w:rsid w:val="00D03D47"/>
    <w:rsid w:val="00D467F5"/>
    <w:rsid w:val="00D507A1"/>
    <w:rsid w:val="00D83C16"/>
    <w:rsid w:val="00DA2621"/>
    <w:rsid w:val="00DB4B52"/>
    <w:rsid w:val="00DB65E1"/>
    <w:rsid w:val="00DE2940"/>
    <w:rsid w:val="00DF6E68"/>
    <w:rsid w:val="00E11DE1"/>
    <w:rsid w:val="00E20072"/>
    <w:rsid w:val="00E54C21"/>
    <w:rsid w:val="00E71879"/>
    <w:rsid w:val="00EF7A7F"/>
    <w:rsid w:val="00F76E0D"/>
    <w:rsid w:val="00F93CD6"/>
    <w:rsid w:val="00FA1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E9A79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25CB"/>
    <w:rPr>
      <w:color w:val="0000FF"/>
      <w:u w:val="single"/>
    </w:rPr>
  </w:style>
  <w:style w:type="paragraph" w:styleId="Footer">
    <w:name w:val="footer"/>
    <w:basedOn w:val="Normal"/>
    <w:link w:val="FooterChar"/>
    <w:uiPriority w:val="99"/>
    <w:unhideWhenUsed/>
    <w:rsid w:val="00DF6E68"/>
    <w:pPr>
      <w:tabs>
        <w:tab w:val="center" w:pos="4680"/>
        <w:tab w:val="right" w:pos="9360"/>
      </w:tabs>
    </w:pPr>
  </w:style>
  <w:style w:type="character" w:customStyle="1" w:styleId="FooterChar">
    <w:name w:val="Footer Char"/>
    <w:basedOn w:val="DefaultParagraphFont"/>
    <w:link w:val="Footer"/>
    <w:uiPriority w:val="99"/>
    <w:rsid w:val="00DF6E68"/>
  </w:style>
  <w:style w:type="character" w:styleId="PageNumber">
    <w:name w:val="page number"/>
    <w:basedOn w:val="DefaultParagraphFont"/>
    <w:uiPriority w:val="99"/>
    <w:semiHidden/>
    <w:unhideWhenUsed/>
    <w:rsid w:val="00DF6E68"/>
  </w:style>
  <w:style w:type="character" w:styleId="FollowedHyperlink">
    <w:name w:val="FollowedHyperlink"/>
    <w:basedOn w:val="DefaultParagraphFont"/>
    <w:uiPriority w:val="99"/>
    <w:semiHidden/>
    <w:unhideWhenUsed/>
    <w:rsid w:val="00DB65E1"/>
    <w:rPr>
      <w:color w:val="954F72" w:themeColor="followedHyperlink"/>
      <w:u w:val="single"/>
    </w:rPr>
  </w:style>
  <w:style w:type="character" w:styleId="CommentReference">
    <w:name w:val="annotation reference"/>
    <w:basedOn w:val="DefaultParagraphFont"/>
    <w:uiPriority w:val="99"/>
    <w:semiHidden/>
    <w:unhideWhenUsed/>
    <w:rsid w:val="001C62D0"/>
    <w:rPr>
      <w:sz w:val="18"/>
      <w:szCs w:val="18"/>
    </w:rPr>
  </w:style>
  <w:style w:type="paragraph" w:styleId="CommentText">
    <w:name w:val="annotation text"/>
    <w:basedOn w:val="Normal"/>
    <w:link w:val="CommentTextChar"/>
    <w:uiPriority w:val="99"/>
    <w:semiHidden/>
    <w:unhideWhenUsed/>
    <w:rsid w:val="001C62D0"/>
  </w:style>
  <w:style w:type="character" w:customStyle="1" w:styleId="CommentTextChar">
    <w:name w:val="Comment Text Char"/>
    <w:basedOn w:val="DefaultParagraphFont"/>
    <w:link w:val="CommentText"/>
    <w:uiPriority w:val="99"/>
    <w:semiHidden/>
    <w:rsid w:val="001C62D0"/>
  </w:style>
  <w:style w:type="paragraph" w:styleId="BalloonText">
    <w:name w:val="Balloon Text"/>
    <w:basedOn w:val="Normal"/>
    <w:link w:val="BalloonTextChar"/>
    <w:uiPriority w:val="99"/>
    <w:semiHidden/>
    <w:unhideWhenUsed/>
    <w:rsid w:val="001C62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62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seikaly@history.ucsb.ed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1467</Words>
  <Characters>8368</Characters>
  <Application>Microsoft Macintosh Word</Application>
  <DocSecurity>0</DocSecurity>
  <Lines>69</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Guidelines</vt:lpstr>
      <vt:lpstr/>
      <vt:lpstr>Be on time.</vt:lpstr>
      <vt:lpstr>Turn off and put away all cellular phones, tablets, and laptops. </vt:lpstr>
    </vt:vector>
  </TitlesOfParts>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Sherene Seikaly</dc:creator>
  <cp:keywords/>
  <dc:description/>
  <cp:lastModifiedBy>Sherene Seikaly</cp:lastModifiedBy>
  <cp:revision>11</cp:revision>
  <dcterms:created xsi:type="dcterms:W3CDTF">2016-01-02T23:07:00Z</dcterms:created>
  <dcterms:modified xsi:type="dcterms:W3CDTF">2016-01-04T05:52:00Z</dcterms:modified>
</cp:coreProperties>
</file>