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59C8E" w14:textId="2D4FDB18" w:rsidR="00F2589E" w:rsidRPr="00D43252" w:rsidRDefault="00F2589E" w:rsidP="00F2589E">
      <w:pPr>
        <w:pStyle w:val="Heading2"/>
        <w:jc w:val="center"/>
        <w:rPr>
          <w:color w:val="auto"/>
        </w:rPr>
      </w:pPr>
      <w:r w:rsidRPr="00D43252">
        <w:rPr>
          <w:color w:val="auto"/>
        </w:rPr>
        <w:t>HIST 2A: Introduction to World History</w:t>
      </w:r>
    </w:p>
    <w:p w14:paraId="298D5057" w14:textId="49299944" w:rsidR="00436CB1" w:rsidRDefault="00AD25E7" w:rsidP="007C1F47">
      <w:pPr>
        <w:ind w:firstLine="360"/>
      </w:pPr>
      <w:r>
        <w:t xml:space="preserve">Welcome to </w:t>
      </w:r>
      <w:r w:rsidR="009752B4">
        <w:t>the history of the ancient</w:t>
      </w:r>
      <w:r w:rsidR="00D43252">
        <w:t xml:space="preserve"> world! People say, “T</w:t>
      </w:r>
      <w:r w:rsidR="009752B4">
        <w:t>hat’s ‘ancient history</w:t>
      </w:r>
      <w:r w:rsidR="00D43252">
        <w:t>,</w:t>
      </w:r>
      <w:r w:rsidR="009752B4">
        <w:t>’” when they think something is “no longer rele</w:t>
      </w:r>
      <w:r w:rsidR="00C5032D">
        <w:t>vant, important, or interesting,</w:t>
      </w:r>
      <w:r w:rsidR="00844C9C">
        <w:t>”</w:t>
      </w:r>
      <w:r w:rsidR="009752B4">
        <w:rPr>
          <w:rStyle w:val="FootnoteReference"/>
        </w:rPr>
        <w:footnoteReference w:id="1"/>
      </w:r>
      <w:r w:rsidR="009752B4">
        <w:t xml:space="preserve"> </w:t>
      </w:r>
      <w:r w:rsidR="00C5032D">
        <w:t xml:space="preserve">but that notion should not—we </w:t>
      </w:r>
      <w:r w:rsidR="005573F2">
        <w:t>think</w:t>
      </w:r>
      <w:r w:rsidR="00C5032D">
        <w:t>! –</w:t>
      </w:r>
      <w:r w:rsidR="009752B4">
        <w:t>apply</w:t>
      </w:r>
      <w:r w:rsidR="00C5032D">
        <w:t xml:space="preserve"> </w:t>
      </w:r>
      <w:r w:rsidR="009752B4">
        <w:t>to this class.</w:t>
      </w:r>
      <w:r w:rsidR="00C5032D">
        <w:t xml:space="preserve"> </w:t>
      </w:r>
      <w:r w:rsidR="009752B4">
        <w:t>We hope that</w:t>
      </w:r>
      <w:r w:rsidR="00C5032D">
        <w:t xml:space="preserve">, as we follow the </w:t>
      </w:r>
      <w:r w:rsidR="00844C9C">
        <w:t xml:space="preserve">following </w:t>
      </w:r>
      <w:r w:rsidR="00C5032D" w:rsidRPr="00C5032D">
        <w:rPr>
          <w:b/>
        </w:rPr>
        <w:t>themes</w:t>
      </w:r>
      <w:r w:rsidR="00C5032D">
        <w:t>,</w:t>
      </w:r>
      <w:r w:rsidR="009752B4">
        <w:t xml:space="preserve"> you will learn to see how the ghosts of the past continue to </w:t>
      </w:r>
      <w:r w:rsidR="00C5032D">
        <w:t xml:space="preserve">inform our </w:t>
      </w:r>
      <w:r w:rsidR="009752B4">
        <w:t xml:space="preserve">ideas about class, gender, power, and </w:t>
      </w:r>
      <w:r w:rsidR="00D43252">
        <w:t>pe</w:t>
      </w:r>
      <w:r w:rsidR="00C5032D">
        <w:t xml:space="preserve">ople </w:t>
      </w:r>
      <w:r w:rsidR="00844C9C">
        <w:t>unlike ourselves</w:t>
      </w:r>
      <w:r w:rsidR="00C5032D">
        <w:t>:</w:t>
      </w:r>
    </w:p>
    <w:p w14:paraId="3B6D8D10" w14:textId="6E649352" w:rsidR="00944CFE" w:rsidRDefault="00C5032D" w:rsidP="00417EF5">
      <w:pPr>
        <w:pStyle w:val="ListParagraph"/>
        <w:numPr>
          <w:ilvl w:val="0"/>
          <w:numId w:val="1"/>
        </w:numPr>
      </w:pPr>
      <w:r>
        <w:t xml:space="preserve">What motivates </w:t>
      </w:r>
      <w:r w:rsidRPr="00C5032D">
        <w:rPr>
          <w:b/>
        </w:rPr>
        <w:t>human m</w:t>
      </w:r>
      <w:r w:rsidR="00944CFE" w:rsidRPr="00C5032D">
        <w:rPr>
          <w:b/>
        </w:rPr>
        <w:t>ovement</w:t>
      </w:r>
      <w:r>
        <w:t xml:space="preserve"> (migration, travel, t</w:t>
      </w:r>
      <w:r w:rsidR="00417EF5">
        <w:t>rade, pilgrimage)?</w:t>
      </w:r>
      <w:r>
        <w:t xml:space="preserve"> What are its consequences?</w:t>
      </w:r>
    </w:p>
    <w:p w14:paraId="6EF89DEB" w14:textId="6A675BAB" w:rsidR="00944CFE" w:rsidRDefault="001F7517" w:rsidP="00417EF5">
      <w:pPr>
        <w:pStyle w:val="ListParagraph"/>
        <w:numPr>
          <w:ilvl w:val="0"/>
          <w:numId w:val="1"/>
        </w:numPr>
      </w:pPr>
      <w:r w:rsidRPr="001F7517">
        <w:rPr>
          <w:b/>
        </w:rPr>
        <w:t>Ecology</w:t>
      </w:r>
      <w:r>
        <w:t>: How have the relations of humans to other organisms (domestication, disease) and to their physical surroundings (climate) changed over time (and vice versa)?</w:t>
      </w:r>
    </w:p>
    <w:p w14:paraId="16B4D7E9" w14:textId="0DB5ECCC" w:rsidR="00944CFE" w:rsidRDefault="001F7517" w:rsidP="00417EF5">
      <w:pPr>
        <w:pStyle w:val="ListParagraph"/>
        <w:numPr>
          <w:ilvl w:val="0"/>
          <w:numId w:val="1"/>
        </w:numPr>
      </w:pPr>
      <w:r>
        <w:t xml:space="preserve">How have </w:t>
      </w:r>
      <w:r w:rsidRPr="001F7517">
        <w:rPr>
          <w:b/>
        </w:rPr>
        <w:t xml:space="preserve">technological innovations </w:t>
      </w:r>
      <w:r>
        <w:t>affected humanity?</w:t>
      </w:r>
      <w:r w:rsidR="00944CFE">
        <w:t xml:space="preserve"> (</w:t>
      </w:r>
      <w:r>
        <w:t xml:space="preserve">metals, </w:t>
      </w:r>
      <w:r w:rsidR="00944CFE">
        <w:t>warfare, farming, language, writing, ships)</w:t>
      </w:r>
    </w:p>
    <w:p w14:paraId="4EFC4FBD" w14:textId="7E3BEE3F" w:rsidR="00944CFE" w:rsidRDefault="00EC38D0" w:rsidP="00417EF5">
      <w:pPr>
        <w:pStyle w:val="ListParagraph"/>
        <w:numPr>
          <w:ilvl w:val="0"/>
          <w:numId w:val="1"/>
        </w:numPr>
      </w:pPr>
      <w:r w:rsidRPr="001F7517">
        <w:rPr>
          <w:b/>
        </w:rPr>
        <w:t>Power</w:t>
      </w:r>
      <w:r>
        <w:t xml:space="preserve">: </w:t>
      </w:r>
      <w:r w:rsidR="001F7517">
        <w:t xml:space="preserve"> What p</w:t>
      </w:r>
      <w:r w:rsidR="00944CFE">
        <w:t>ractices</w:t>
      </w:r>
      <w:r>
        <w:t>,</w:t>
      </w:r>
      <w:r w:rsidR="001F7517">
        <w:t xml:space="preserve"> c</w:t>
      </w:r>
      <w:r w:rsidR="00944CFE">
        <w:t>oncepts</w:t>
      </w:r>
      <w:r w:rsidR="001F7517">
        <w:t>,</w:t>
      </w:r>
      <w:r w:rsidR="00944CFE">
        <w:t xml:space="preserve"> </w:t>
      </w:r>
      <w:r>
        <w:t>and justifications for domination (imperialism, freedom, gender norms)</w:t>
      </w:r>
      <w:r w:rsidR="001F7517">
        <w:t xml:space="preserve"> have people used? How have human ideas about </w:t>
      </w:r>
      <w:r>
        <w:t xml:space="preserve">metaphysical </w:t>
      </w:r>
      <w:r w:rsidR="001F7517">
        <w:t>powers (</w:t>
      </w:r>
      <w:r w:rsidR="007C1F47">
        <w:t>e.g., gods, demons, angels, spirits) shaped human behavior?</w:t>
      </w:r>
    </w:p>
    <w:p w14:paraId="1F563BEC" w14:textId="41125FFF" w:rsidR="00944CFE" w:rsidRDefault="00944CFE" w:rsidP="00417EF5">
      <w:pPr>
        <w:pStyle w:val="ListParagraph"/>
        <w:numPr>
          <w:ilvl w:val="0"/>
          <w:numId w:val="1"/>
        </w:numPr>
      </w:pPr>
      <w:r w:rsidRPr="001F7517">
        <w:rPr>
          <w:b/>
        </w:rPr>
        <w:t>Legacies</w:t>
      </w:r>
      <w:r w:rsidR="00707106">
        <w:t>: How does the past haunt the present?</w:t>
      </w:r>
    </w:p>
    <w:p w14:paraId="3E0A3CE5" w14:textId="48570B08" w:rsidR="00944CFE" w:rsidRDefault="00D43252" w:rsidP="007C1F47">
      <w:pPr>
        <w:ind w:firstLine="360"/>
      </w:pPr>
      <w:r>
        <w:t xml:space="preserve">Each unit </w:t>
      </w:r>
      <w:r w:rsidR="00417EF5">
        <w:t xml:space="preserve">covers a </w:t>
      </w:r>
      <w:r>
        <w:t>slice of time</w:t>
      </w:r>
      <w:r w:rsidR="00417EF5">
        <w:t xml:space="preserve"> from </w:t>
      </w:r>
      <w:r>
        <w:t>huma</w:t>
      </w:r>
      <w:r w:rsidR="009E01D1">
        <w:t>nity’s earliest years</w:t>
      </w:r>
      <w:r>
        <w:t xml:space="preserve"> up to 750 CE. </w:t>
      </w:r>
      <w:r>
        <w:rPr>
          <w:rStyle w:val="FootnoteReference"/>
        </w:rPr>
        <w:footnoteReference w:id="2"/>
      </w:r>
      <w:r>
        <w:t xml:space="preserve"> For every unit, we’ll be using </w:t>
      </w:r>
      <w:r w:rsidRPr="007C1F47">
        <w:rPr>
          <w:b/>
        </w:rPr>
        <w:t xml:space="preserve">Tiber Island </w:t>
      </w:r>
      <w:r>
        <w:t>as a home base, an island now in the middle of the city of Rome, Italy. We’ll then situate this region in a wider Afro-Eurasian and then global context. And finally we’ll look at how events or developments in each unit continue to shape the</w:t>
      </w:r>
      <w:r w:rsidR="000D0DE8">
        <w:t xml:space="preserve"> US today.  We’ll use Rome’s Tiber Island as an anchor for </w:t>
      </w:r>
      <w:r w:rsidR="00417EF5">
        <w:t>several</w:t>
      </w:r>
      <w:r w:rsidR="000D0DE8">
        <w:t xml:space="preserve"> reasons:</w:t>
      </w:r>
    </w:p>
    <w:p w14:paraId="042332F2" w14:textId="51BD70DA" w:rsidR="000D0DE8" w:rsidRDefault="000D0DE8" w:rsidP="00417EF5">
      <w:pPr>
        <w:pStyle w:val="ListParagraph"/>
        <w:numPr>
          <w:ilvl w:val="0"/>
          <w:numId w:val="2"/>
        </w:numPr>
      </w:pPr>
      <w:r>
        <w:t>Humans have inhabited that area across the entire period this course covers.</w:t>
      </w:r>
    </w:p>
    <w:p w14:paraId="4D4456A9" w14:textId="646C27ED" w:rsidR="000D0DE8" w:rsidRDefault="000D0DE8" w:rsidP="00417EF5">
      <w:pPr>
        <w:pStyle w:val="ListParagraph"/>
        <w:numPr>
          <w:ilvl w:val="0"/>
          <w:numId w:val="2"/>
        </w:numPr>
      </w:pPr>
      <w:r>
        <w:t>It is a</w:t>
      </w:r>
      <w:r w:rsidR="007C1F47">
        <w:t xml:space="preserve"> very</w:t>
      </w:r>
      <w:r>
        <w:t xml:space="preserve"> well-studied area, both archaeologically and historically.</w:t>
      </w:r>
    </w:p>
    <w:p w14:paraId="6B9F44C4" w14:textId="5BE99A39" w:rsidR="000D0DE8" w:rsidRDefault="000D0DE8" w:rsidP="00417EF5">
      <w:pPr>
        <w:pStyle w:val="ListParagraph"/>
        <w:numPr>
          <w:ilvl w:val="0"/>
          <w:numId w:val="2"/>
        </w:numPr>
      </w:pPr>
      <w:r>
        <w:t>The</w:t>
      </w:r>
      <w:r w:rsidR="007C1F47">
        <w:t xml:space="preserve"> US</w:t>
      </w:r>
      <w:r>
        <w:t xml:space="preserve"> founders </w:t>
      </w:r>
      <w:r w:rsidR="007C1F47">
        <w:t xml:space="preserve">used </w:t>
      </w:r>
      <w:r>
        <w:t>the Roman Republic as a model for our constitution.</w:t>
      </w:r>
      <w:r w:rsidR="009E01D1">
        <w:rPr>
          <w:rStyle w:val="FootnoteReference"/>
        </w:rPr>
        <w:footnoteReference w:id="3"/>
      </w:r>
    </w:p>
    <w:p w14:paraId="1476B2FC" w14:textId="67FEA2E8" w:rsidR="000D0DE8" w:rsidRDefault="000D0DE8" w:rsidP="00417EF5">
      <w:pPr>
        <w:pStyle w:val="ListParagraph"/>
        <w:numPr>
          <w:ilvl w:val="0"/>
          <w:numId w:val="2"/>
        </w:numPr>
      </w:pPr>
      <w:r>
        <w:t xml:space="preserve">US </w:t>
      </w:r>
      <w:r w:rsidR="007C1F47">
        <w:t xml:space="preserve">elite education once </w:t>
      </w:r>
      <w:r>
        <w:t xml:space="preserve">strongly emphasized </w:t>
      </w:r>
      <w:r w:rsidR="009E01D1">
        <w:t xml:space="preserve">the virtues of </w:t>
      </w:r>
      <w:r>
        <w:t xml:space="preserve">the </w:t>
      </w:r>
      <w:r w:rsidR="009E01D1">
        <w:t>“</w:t>
      </w:r>
      <w:r>
        <w:t xml:space="preserve">Classics,” that is, </w:t>
      </w:r>
      <w:r w:rsidR="009E01D1">
        <w:t>ancient Greek and Roman writers</w:t>
      </w:r>
      <w:r>
        <w:t>.</w:t>
      </w:r>
      <w:r w:rsidR="009E01D1">
        <w:t xml:space="preserve"> This course does not set out to embrace those values, but to understand them historically: to see how they arose in a particular context and how they travelled to North America.</w:t>
      </w:r>
      <w:r w:rsidR="00C5032D">
        <w:rPr>
          <w:rStyle w:val="FootnoteReference"/>
        </w:rPr>
        <w:footnoteReference w:id="4"/>
      </w:r>
    </w:p>
    <w:p w14:paraId="41DCBCC6" w14:textId="3D01725E" w:rsidR="007C1F47" w:rsidRDefault="007C1F47" w:rsidP="007C1F47">
      <w:pPr>
        <w:ind w:firstLine="360"/>
      </w:pPr>
      <w:r>
        <w:t xml:space="preserve">In taking this historical view of the past, </w:t>
      </w:r>
      <w:r w:rsidR="00C52403">
        <w:t xml:space="preserve">we aim </w:t>
      </w:r>
      <w:r>
        <w:rPr>
          <w:i/>
        </w:rPr>
        <w:t>n</w:t>
      </w:r>
      <w:r w:rsidR="00C52403">
        <w:rPr>
          <w:i/>
        </w:rPr>
        <w:t>either</w:t>
      </w:r>
      <w:r>
        <w:t xml:space="preserve"> </w:t>
      </w:r>
      <w:r w:rsidR="00C52403">
        <w:t>t</w:t>
      </w:r>
      <w:r>
        <w:t xml:space="preserve">o </w:t>
      </w:r>
      <w:r w:rsidR="00C52403">
        <w:t>propose</w:t>
      </w:r>
      <w:r>
        <w:t xml:space="preserve"> one true way of reading the past,</w:t>
      </w:r>
      <w:r w:rsidR="00C52403">
        <w:t xml:space="preserve"> </w:t>
      </w:r>
      <w:r w:rsidRPr="00C52403">
        <w:rPr>
          <w:i/>
        </w:rPr>
        <w:t>nor</w:t>
      </w:r>
      <w:r>
        <w:t xml:space="preserve"> to suggest that various versions of events are equally valid.</w:t>
      </w:r>
      <w:r w:rsidR="00C52403">
        <w:t xml:space="preserve"> Our goal is </w:t>
      </w:r>
      <w:r w:rsidR="00C52403">
        <w:rPr>
          <w:i/>
        </w:rPr>
        <w:t xml:space="preserve">not </w:t>
      </w:r>
      <w:r w:rsidR="00C52403">
        <w:t>t</w:t>
      </w:r>
      <w:r>
        <w:t>o suggest that the past predicts the future</w:t>
      </w:r>
      <w:r w:rsidR="00C52403">
        <w:t xml:space="preserve">, </w:t>
      </w:r>
      <w:r w:rsidR="00C52403" w:rsidRPr="00C52403">
        <w:rPr>
          <w:i/>
        </w:rPr>
        <w:t>nor</w:t>
      </w:r>
      <w:r w:rsidR="00C52403">
        <w:t xml:space="preserve"> t</w:t>
      </w:r>
      <w:r>
        <w:t>o provide us with a</w:t>
      </w:r>
      <w:r w:rsidR="00C52403">
        <w:t xml:space="preserve"> core</w:t>
      </w:r>
      <w:r>
        <w:t xml:space="preserve"> identity</w:t>
      </w:r>
      <w:r w:rsidR="00C52403">
        <w:t>. Rather, our goals are three:</w:t>
      </w:r>
    </w:p>
    <w:p w14:paraId="7658855F" w14:textId="75D6B234" w:rsidR="00C52403" w:rsidRDefault="00C52403" w:rsidP="00417EF5">
      <w:pPr>
        <w:pStyle w:val="ListParagraph"/>
        <w:numPr>
          <w:ilvl w:val="0"/>
          <w:numId w:val="3"/>
        </w:numPr>
        <w:ind w:left="720"/>
      </w:pPr>
      <w:r>
        <w:t>To introduce you to the pleasures of studying the past for its own sake.</w:t>
      </w:r>
    </w:p>
    <w:p w14:paraId="7B8D4681" w14:textId="5C48F0A3" w:rsidR="00C52403" w:rsidRDefault="00C52403" w:rsidP="00417EF5">
      <w:pPr>
        <w:pStyle w:val="ListParagraph"/>
        <w:numPr>
          <w:ilvl w:val="0"/>
          <w:numId w:val="3"/>
        </w:numPr>
        <w:ind w:left="720"/>
      </w:pPr>
      <w:r>
        <w:t>To show you how the study of history can help you learn how to think.</w:t>
      </w:r>
    </w:p>
    <w:p w14:paraId="487F7218" w14:textId="01AA38D0" w:rsidR="00C52403" w:rsidRPr="007C1F47" w:rsidRDefault="00C52403" w:rsidP="00417EF5">
      <w:pPr>
        <w:pStyle w:val="ListParagraph"/>
        <w:numPr>
          <w:ilvl w:val="0"/>
          <w:numId w:val="3"/>
        </w:numPr>
        <w:ind w:left="720"/>
      </w:pPr>
      <w:r>
        <w:t>To help you see how things could be different.</w:t>
      </w:r>
      <w:r>
        <w:rPr>
          <w:rStyle w:val="FootnoteReference"/>
        </w:rPr>
        <w:footnoteReference w:id="5"/>
      </w:r>
    </w:p>
    <w:p w14:paraId="6837E167" w14:textId="42CF2B6C" w:rsidR="00BD6F63" w:rsidRPr="00BD6F63" w:rsidRDefault="00BD6F63" w:rsidP="00BD6F63">
      <w:pPr>
        <w:pStyle w:val="Heading2"/>
        <w:jc w:val="center"/>
        <w:rPr>
          <w:rStyle w:val="Emphasis"/>
          <w:i w:val="0"/>
        </w:rPr>
      </w:pPr>
      <w:r>
        <w:rPr>
          <w:rStyle w:val="Emphasis"/>
          <w:i w:val="0"/>
        </w:rPr>
        <w:lastRenderedPageBreak/>
        <w:t>Assignments</w:t>
      </w:r>
    </w:p>
    <w:p w14:paraId="33E2BD85" w14:textId="3FD1601E" w:rsidR="00C963C9" w:rsidRPr="00417EF5" w:rsidRDefault="00417EF5" w:rsidP="00F2589E">
      <w:pPr>
        <w:rPr>
          <w:b/>
        </w:rPr>
      </w:pPr>
      <w:r w:rsidRPr="00417EF5">
        <w:rPr>
          <w:b/>
          <w:u w:val="single"/>
        </w:rPr>
        <w:t>R</w:t>
      </w:r>
      <w:r w:rsidR="00C963C9" w:rsidRPr="00417EF5">
        <w:rPr>
          <w:b/>
          <w:u w:val="single"/>
        </w:rPr>
        <w:t>eading</w:t>
      </w:r>
    </w:p>
    <w:p w14:paraId="551D8190" w14:textId="3917F25E" w:rsidR="00417EF5" w:rsidRDefault="00C963C9" w:rsidP="00417EF5">
      <w:pPr>
        <w:pStyle w:val="ListParagraph"/>
        <w:numPr>
          <w:ilvl w:val="0"/>
          <w:numId w:val="4"/>
        </w:numPr>
      </w:pPr>
      <w:r>
        <w:t>All reading</w:t>
      </w:r>
      <w:r w:rsidR="00680A03">
        <w:t xml:space="preserve"> listed under each lecture date </w:t>
      </w:r>
      <w:r w:rsidR="00417EF5">
        <w:t>is required</w:t>
      </w:r>
      <w:r w:rsidR="00454F79">
        <w:t>; you will find it on GauchoSpace</w:t>
      </w:r>
      <w:r w:rsidR="00417EF5">
        <w:t>.</w:t>
      </w:r>
    </w:p>
    <w:p w14:paraId="55B5D161" w14:textId="55B08172" w:rsidR="00417EF5" w:rsidRDefault="00417EF5" w:rsidP="00417EF5">
      <w:pPr>
        <w:pStyle w:val="ListParagraph"/>
        <w:numPr>
          <w:ilvl w:val="0"/>
          <w:numId w:val="4"/>
        </w:numPr>
      </w:pPr>
      <w:r>
        <w:t xml:space="preserve">You may find that reading the textbook </w:t>
      </w:r>
      <w:r w:rsidR="00F10E26">
        <w:t xml:space="preserve">(Valerie Hansen and Kenneth R. Curtis, </w:t>
      </w:r>
      <w:r w:rsidR="00F10E26">
        <w:rPr>
          <w:i/>
        </w:rPr>
        <w:t>Voyages in World History</w:t>
      </w:r>
      <w:r w:rsidR="00F10E26">
        <w:t>)</w:t>
      </w:r>
      <w:r w:rsidR="00F10E26">
        <w:rPr>
          <w:i/>
        </w:rPr>
        <w:t xml:space="preserve"> </w:t>
      </w:r>
      <w:r>
        <w:t>is extremely useful, but it is not required.</w:t>
      </w:r>
    </w:p>
    <w:p w14:paraId="6F3B5313" w14:textId="77777777" w:rsidR="00417EF5" w:rsidRDefault="00417EF5" w:rsidP="00F2589E">
      <w:pPr>
        <w:rPr>
          <w:u w:val="single"/>
        </w:rPr>
      </w:pPr>
    </w:p>
    <w:p w14:paraId="1FE7C9E0" w14:textId="56C49612" w:rsidR="00C963C9" w:rsidRPr="00417EF5" w:rsidRDefault="00417EF5" w:rsidP="00F2589E">
      <w:pPr>
        <w:rPr>
          <w:b/>
          <w:u w:val="single"/>
        </w:rPr>
      </w:pPr>
      <w:r w:rsidRPr="00417EF5">
        <w:rPr>
          <w:b/>
          <w:u w:val="single"/>
        </w:rPr>
        <w:t>Writing</w:t>
      </w:r>
    </w:p>
    <w:p w14:paraId="1A386859" w14:textId="2BCE525A" w:rsidR="00C963C9" w:rsidRDefault="00C963C9" w:rsidP="00F2589E">
      <w:r>
        <w:rPr>
          <w:b/>
        </w:rPr>
        <w:t>Every Wednesday:</w:t>
      </w:r>
      <w:r>
        <w:t xml:space="preserve"> Please come to lecture having written a “</w:t>
      </w:r>
      <w:hyperlink r:id="rId8" w:history="1">
        <w:r w:rsidRPr="00D1757D">
          <w:rPr>
            <w:rStyle w:val="Hyperlink"/>
          </w:rPr>
          <w:t>newspaper lead</w:t>
        </w:r>
      </w:hyperlink>
      <w:r>
        <w:t>”</w:t>
      </w:r>
      <w:r w:rsidR="00D1757D">
        <w:rPr>
          <w:rStyle w:val="FootnoteReference"/>
        </w:rPr>
        <w:footnoteReference w:id="6"/>
      </w:r>
      <w:r>
        <w:t xml:space="preserve"> for one reading </w:t>
      </w:r>
      <w:r w:rsidR="00D1757D">
        <w:t xml:space="preserve">(or artifact) </w:t>
      </w:r>
      <w:r>
        <w:t>assigned for that day (your TA will identify the readings from which you may choose). We will collect these</w:t>
      </w:r>
      <w:r w:rsidR="00844C9C">
        <w:t>,</w:t>
      </w:r>
      <w:r>
        <w:t xml:space="preserve"> and they will contribute to your grade.</w:t>
      </w:r>
      <w:r w:rsidR="00D1757D">
        <w:t xml:space="preserve"> Think of this assignment as communicating the most important information about this reading (or artifact) to someone unfamiliar with the course.</w:t>
      </w:r>
      <w:r w:rsidR="003977C9">
        <w:t xml:space="preserve"> Think of it also as an exercise that will help you evaluate contemporary news sources.</w:t>
      </w:r>
    </w:p>
    <w:p w14:paraId="5774A348" w14:textId="77777777" w:rsidR="00C963C9" w:rsidRDefault="00C963C9" w:rsidP="00F2589E"/>
    <w:p w14:paraId="5C55D2BC" w14:textId="4ADFE6D0" w:rsidR="00C963C9" w:rsidRDefault="00C963C9" w:rsidP="00F2589E">
      <w:r>
        <w:rPr>
          <w:b/>
        </w:rPr>
        <w:t>Every Friday</w:t>
      </w:r>
      <w:r>
        <w:t>: Please come to class having written a paragraph analyzing this week’s reading as it applies to your paper topic. Please note that there are supplemental readings that you may find helpful.</w:t>
      </w:r>
      <w:r w:rsidR="00AD68EB">
        <w:t xml:space="preserve"> We will collect these, and they will contribute to your grade.</w:t>
      </w:r>
    </w:p>
    <w:p w14:paraId="0AA69A4C" w14:textId="77777777" w:rsidR="00AD68EB" w:rsidRDefault="00AD68EB" w:rsidP="00F2589E"/>
    <w:p w14:paraId="379E914D" w14:textId="2D69B3F9" w:rsidR="00BD6F63" w:rsidRDefault="00BD6F63" w:rsidP="00BD6F63">
      <w:r>
        <w:rPr>
          <w:b/>
        </w:rPr>
        <w:t xml:space="preserve">Paper: </w:t>
      </w:r>
      <w:r>
        <w:t xml:space="preserve">Choose one aspect of a theme on which to focus (e.g., gender norms): Compare and contrast different peoples in different places with respect to this topic. How do you account for similarities? How do you explain any differences? </w:t>
      </w:r>
      <w:r w:rsidR="00454F79">
        <w:t>D</w:t>
      </w:r>
      <w:r>
        <w:t xml:space="preserve">iscuss for at least two peoples on different continents. </w:t>
      </w:r>
      <w:r w:rsidR="00454F79">
        <w:t>C</w:t>
      </w:r>
      <w:r>
        <w:t xml:space="preserve">onsult the supplemental readings on GauchoSpace. </w:t>
      </w:r>
      <w:r w:rsidR="00454F79">
        <w:t>Y</w:t>
      </w:r>
      <w:r>
        <w:t xml:space="preserve">our Friday assignments should help contribute to your paper. In order to meet the </w:t>
      </w:r>
      <w:hyperlink r:id="rId9" w:history="1">
        <w:r w:rsidRPr="00680A03">
          <w:rPr>
            <w:rStyle w:val="Hyperlink"/>
          </w:rPr>
          <w:t>General Education Writing Requirement</w:t>
        </w:r>
      </w:hyperlink>
      <w:r>
        <w:t>, your paper must be at least 1800 words—or you will fail the class (no matter how strong your work was in other areas).</w:t>
      </w:r>
      <w:r w:rsidRPr="00BD6F63">
        <w:rPr>
          <w:b/>
        </w:rPr>
        <w:t xml:space="preserve"> </w:t>
      </w:r>
      <w:r>
        <w:rPr>
          <w:b/>
        </w:rPr>
        <w:t>Papers due: 15 March, in class.</w:t>
      </w:r>
      <w:r>
        <w:t xml:space="preserve"> </w:t>
      </w:r>
    </w:p>
    <w:p w14:paraId="76298681" w14:textId="3219FC66" w:rsidR="00BD6F63" w:rsidRDefault="00BD6F63" w:rsidP="00BD6F63">
      <w:pPr>
        <w:pStyle w:val="Heading2"/>
        <w:jc w:val="center"/>
      </w:pPr>
      <w:r>
        <w:t>Grades</w:t>
      </w:r>
    </w:p>
    <w:p w14:paraId="727C3914" w14:textId="128AD5B3" w:rsidR="009371D2" w:rsidRDefault="009371D2" w:rsidP="00BD6F63">
      <w:r>
        <w:t>Discussion section:</w:t>
      </w:r>
      <w:r>
        <w:tab/>
      </w:r>
      <w:r>
        <w:tab/>
      </w:r>
      <w:r w:rsidR="00BD6F63">
        <w:tab/>
      </w:r>
      <w:r w:rsidR="00BD6F63">
        <w:tab/>
      </w:r>
      <w:r w:rsidR="00BD6F63">
        <w:tab/>
      </w:r>
      <w:r>
        <w:t>20%</w:t>
      </w:r>
    </w:p>
    <w:p w14:paraId="01B37476" w14:textId="7334FD74" w:rsidR="009371D2" w:rsidRDefault="009371D2" w:rsidP="00BD6F63">
      <w:r>
        <w:t>Wed</w:t>
      </w:r>
      <w:r w:rsidR="00BD6F63">
        <w:t>ne</w:t>
      </w:r>
      <w:r>
        <w:t>s</w:t>
      </w:r>
      <w:r w:rsidR="00BD6F63">
        <w:t xml:space="preserve">day &amp; </w:t>
      </w:r>
      <w:r>
        <w:t>Friday assignments:</w:t>
      </w:r>
      <w:r>
        <w:tab/>
      </w:r>
      <w:r w:rsidR="00BD6F63">
        <w:tab/>
      </w:r>
      <w:r w:rsidR="00BD6F63">
        <w:tab/>
      </w:r>
      <w:r>
        <w:t>15%</w:t>
      </w:r>
    </w:p>
    <w:p w14:paraId="2FE86745" w14:textId="284C67E1" w:rsidR="00AD68EB" w:rsidRDefault="009371D2" w:rsidP="00BD6F63">
      <w:r>
        <w:t>Midterm</w:t>
      </w:r>
      <w:r w:rsidR="00BD6F63">
        <w:t xml:space="preserve"> (</w:t>
      </w:r>
      <w:r w:rsidR="00BD6F63">
        <w:rPr>
          <w:b/>
        </w:rPr>
        <w:t>8 February, open book):</w:t>
      </w:r>
      <w:r w:rsidR="00BD6F63">
        <w:tab/>
      </w:r>
      <w:r w:rsidR="00BD6F63">
        <w:tab/>
      </w:r>
      <w:r>
        <w:t>20%</w:t>
      </w:r>
    </w:p>
    <w:p w14:paraId="4D3949C8" w14:textId="191399D4" w:rsidR="009371D2" w:rsidRDefault="009371D2" w:rsidP="00BD6F63">
      <w:r>
        <w:t>Paper</w:t>
      </w:r>
      <w:r w:rsidR="00BD6F63">
        <w:t xml:space="preserve"> (</w:t>
      </w:r>
      <w:r w:rsidR="00BD6F63">
        <w:rPr>
          <w:b/>
        </w:rPr>
        <w:t>15 March)</w:t>
      </w:r>
      <w:r>
        <w:t>:</w:t>
      </w:r>
      <w:r>
        <w:tab/>
      </w:r>
      <w:r>
        <w:tab/>
      </w:r>
      <w:r w:rsidR="00BD6F63">
        <w:tab/>
      </w:r>
      <w:r w:rsidR="00BD6F63">
        <w:tab/>
      </w:r>
      <w:r w:rsidR="00BD6F63">
        <w:tab/>
      </w:r>
      <w:r>
        <w:t>20%</w:t>
      </w:r>
    </w:p>
    <w:p w14:paraId="3C17CE03" w14:textId="7E9B5658" w:rsidR="009371D2" w:rsidRDefault="009371D2" w:rsidP="00BD6F63">
      <w:r>
        <w:t>Final</w:t>
      </w:r>
      <w:r w:rsidR="00BD6F63">
        <w:t xml:space="preserve"> (</w:t>
      </w:r>
      <w:r w:rsidR="00BD6F63">
        <w:rPr>
          <w:b/>
        </w:rPr>
        <w:t>20 March, 4-7 pm, open book)</w:t>
      </w:r>
      <w:r w:rsidR="00BD6F63">
        <w:t>:</w:t>
      </w:r>
      <w:r w:rsidR="00BD6F63">
        <w:tab/>
      </w:r>
      <w:r w:rsidR="00BD6F63">
        <w:tab/>
      </w:r>
      <w:r>
        <w:t>25%</w:t>
      </w:r>
    </w:p>
    <w:p w14:paraId="35A44B9C" w14:textId="77777777" w:rsidR="00145C82" w:rsidRDefault="00145C82" w:rsidP="00F2589E"/>
    <w:p w14:paraId="200126F8" w14:textId="6740C079" w:rsidR="00BD6F63" w:rsidRDefault="00BD6F63" w:rsidP="00BD6F63">
      <w:pPr>
        <w:pStyle w:val="Heading2"/>
        <w:jc w:val="center"/>
      </w:pPr>
      <w:r>
        <w:t>Organizing Your Time</w:t>
      </w:r>
    </w:p>
    <w:p w14:paraId="38F650DD" w14:textId="0D734CB8" w:rsidR="00145C82" w:rsidRDefault="00145C82" w:rsidP="00F2589E">
      <w:r>
        <w:t>University of California policy award</w:t>
      </w:r>
      <w:r w:rsidR="00BD6F63">
        <w:t>s</w:t>
      </w:r>
      <w:r>
        <w:t xml:space="preserve"> one credit hour </w:t>
      </w:r>
      <w:r w:rsidR="00BD6F63">
        <w:t>for</w:t>
      </w:r>
      <w:r>
        <w:t xml:space="preserve"> every three hours of student work per week. You can </w:t>
      </w:r>
      <w:r w:rsidRPr="003977C9">
        <w:t>read this</w:t>
      </w:r>
      <w:r w:rsidR="003977C9">
        <w:t xml:space="preserve"> </w:t>
      </w:r>
      <w:hyperlink r:id="rId10" w:history="1">
        <w:r w:rsidR="003977C9" w:rsidRPr="003977C9">
          <w:rPr>
            <w:rStyle w:val="Hyperlink"/>
          </w:rPr>
          <w:t>here</w:t>
        </w:r>
      </w:hyperlink>
      <w:r w:rsidRPr="003977C9">
        <w:t xml:space="preserve">. </w:t>
      </w:r>
      <w:r w:rsidR="00454F79">
        <w:t xml:space="preserve">As </w:t>
      </w:r>
      <w:r w:rsidRPr="003977C9">
        <w:t>HIST</w:t>
      </w:r>
      <w:r>
        <w:t xml:space="preserve"> 2A is a four-credit class</w:t>
      </w:r>
      <w:r w:rsidR="00454F79">
        <w:t xml:space="preserve">, </w:t>
      </w:r>
      <w:r>
        <w:t>you should expect to work 12 hours per week through the 10 weeks of this term. Here is how we suggest spending your time:</w:t>
      </w:r>
    </w:p>
    <w:p w14:paraId="747CBD8A" w14:textId="25C92EDE" w:rsidR="00145C82" w:rsidRDefault="00454F79" w:rsidP="00454F79">
      <w:pPr>
        <w:pStyle w:val="ListParagraph"/>
        <w:numPr>
          <w:ilvl w:val="1"/>
          <w:numId w:val="7"/>
        </w:numPr>
      </w:pPr>
      <w:r>
        <w:t>Attending l</w:t>
      </w:r>
      <w:r w:rsidR="00145C82">
        <w:t>ectures on Wednesdays and Fridays = 3 hours</w:t>
      </w:r>
    </w:p>
    <w:p w14:paraId="041F6CF6" w14:textId="749B1E28" w:rsidR="00145C82" w:rsidRDefault="00454F79" w:rsidP="00454F79">
      <w:pPr>
        <w:pStyle w:val="ListParagraph"/>
        <w:numPr>
          <w:ilvl w:val="1"/>
          <w:numId w:val="7"/>
        </w:numPr>
      </w:pPr>
      <w:r>
        <w:t>Attending d</w:t>
      </w:r>
      <w:r w:rsidR="00145C82">
        <w:t>iscussion section = 1 hour</w:t>
      </w:r>
    </w:p>
    <w:p w14:paraId="5C4F3C9F" w14:textId="3EBBCE82" w:rsidR="00145C82" w:rsidRDefault="00145C82" w:rsidP="00454F79">
      <w:pPr>
        <w:pStyle w:val="ListParagraph"/>
        <w:numPr>
          <w:ilvl w:val="1"/>
          <w:numId w:val="7"/>
        </w:numPr>
      </w:pPr>
      <w:r>
        <w:t>Reading for Wednesday = 1 hour (</w:t>
      </w:r>
      <w:r w:rsidR="00454F79">
        <w:t xml:space="preserve">assuming </w:t>
      </w:r>
      <w:r w:rsidR="00DD362E">
        <w:t>35</w:t>
      </w:r>
      <w:r>
        <w:t xml:space="preserve"> pages/hour).</w:t>
      </w:r>
      <w:r w:rsidR="00DD362E">
        <w:rPr>
          <w:rStyle w:val="FootnoteReference"/>
        </w:rPr>
        <w:footnoteReference w:id="7"/>
      </w:r>
    </w:p>
    <w:p w14:paraId="1A2F8A39" w14:textId="0EE0EE07" w:rsidR="00DD362E" w:rsidRDefault="00454F79" w:rsidP="00454F79">
      <w:pPr>
        <w:pStyle w:val="ListParagraph"/>
        <w:numPr>
          <w:ilvl w:val="1"/>
          <w:numId w:val="7"/>
        </w:numPr>
      </w:pPr>
      <w:r>
        <w:t>Writing a</w:t>
      </w:r>
      <w:r w:rsidR="00DD362E">
        <w:t>ssignment for Wednesday = 1 hour</w:t>
      </w:r>
    </w:p>
    <w:p w14:paraId="566A6CE8" w14:textId="4DF30A99" w:rsidR="00DD362E" w:rsidRDefault="00DD362E" w:rsidP="00454F79">
      <w:pPr>
        <w:pStyle w:val="ListParagraph"/>
        <w:numPr>
          <w:ilvl w:val="1"/>
          <w:numId w:val="7"/>
        </w:numPr>
      </w:pPr>
      <w:r>
        <w:t>Reading for Friday = 1 hour</w:t>
      </w:r>
    </w:p>
    <w:p w14:paraId="0E898D01" w14:textId="74310F4B" w:rsidR="00DD362E" w:rsidRDefault="00454F79" w:rsidP="00454F79">
      <w:pPr>
        <w:pStyle w:val="ListParagraph"/>
        <w:numPr>
          <w:ilvl w:val="1"/>
          <w:numId w:val="7"/>
        </w:numPr>
      </w:pPr>
      <w:r>
        <w:t>Writing a</w:t>
      </w:r>
      <w:r w:rsidR="00DD362E">
        <w:t>ssignment for Friday = 1 hour</w:t>
      </w:r>
    </w:p>
    <w:p w14:paraId="7FEA6200" w14:textId="2C8CCBC7" w:rsidR="00DD362E" w:rsidRPr="00145C82" w:rsidRDefault="00DD362E" w:rsidP="003977C9">
      <w:r>
        <w:t xml:space="preserve">So far, these activities sum up to eight hours of work per week. Your TAs will also have assignments for you before section. Most likely, you will have two to three extra hours per week, which you should use toward </w:t>
      </w:r>
      <w:r w:rsidR="00D1757D">
        <w:t xml:space="preserve">reading the textbook, </w:t>
      </w:r>
      <w:r>
        <w:t>writing your papers and preparing for your exams.</w:t>
      </w:r>
    </w:p>
    <w:p w14:paraId="589744B5" w14:textId="659F8C8F" w:rsidR="000764BE" w:rsidRDefault="000764BE" w:rsidP="00454F79">
      <w:pPr>
        <w:pStyle w:val="Heading2"/>
        <w:jc w:val="center"/>
      </w:pPr>
      <w:r>
        <w:t>Suggestions for Success:</w:t>
      </w:r>
    </w:p>
    <w:p w14:paraId="207CEE8C" w14:textId="26CBE3C2" w:rsidR="00ED0F17" w:rsidRDefault="000764BE" w:rsidP="00F2589E">
      <w:r>
        <w:t>1.</w:t>
      </w:r>
      <w:r>
        <w:tab/>
        <w:t xml:space="preserve">Take notes by hand, not by laptop. For more information, click </w:t>
      </w:r>
      <w:hyperlink r:id="rId11" w:history="1">
        <w:r w:rsidRPr="000764BE">
          <w:rPr>
            <w:rStyle w:val="Hyperlink"/>
          </w:rPr>
          <w:t>here</w:t>
        </w:r>
      </w:hyperlink>
      <w:r w:rsidR="00ED0F17">
        <w:t>.</w:t>
      </w:r>
    </w:p>
    <w:p w14:paraId="5FA8B11D" w14:textId="3D8E57F6" w:rsidR="000764BE" w:rsidRDefault="00ED0F17" w:rsidP="00F2589E">
      <w:r>
        <w:t>2.</w:t>
      </w:r>
      <w:r>
        <w:tab/>
      </w:r>
      <w:r w:rsidR="00454F79">
        <w:t xml:space="preserve">Don’t feel ashamed for </w:t>
      </w:r>
      <w:r>
        <w:t xml:space="preserve">being introverted (see </w:t>
      </w:r>
      <w:hyperlink r:id="rId12" w:history="1">
        <w:r w:rsidRPr="00ED0F17">
          <w:rPr>
            <w:rStyle w:val="Hyperlink"/>
          </w:rPr>
          <w:t>here</w:t>
        </w:r>
      </w:hyperlink>
      <w:r w:rsidR="00454F79">
        <w:t xml:space="preserve">); nevertheless, </w:t>
      </w:r>
      <w:r>
        <w:t>it is increasingly necessary for us all to learn how to communicate effectively aloud and in real time</w:t>
      </w:r>
      <w:r w:rsidR="000764BE">
        <w:t>.</w:t>
      </w:r>
    </w:p>
    <w:p w14:paraId="18D15308" w14:textId="7770C648" w:rsidR="00454F79" w:rsidRPr="00454F79" w:rsidRDefault="00454F79" w:rsidP="00454F79">
      <w:pPr>
        <w:pStyle w:val="Heading2"/>
        <w:jc w:val="center"/>
        <w:rPr>
          <w:color w:val="auto"/>
        </w:rPr>
      </w:pPr>
      <w:r w:rsidRPr="00454F79">
        <w:rPr>
          <w:color w:val="auto"/>
        </w:rPr>
        <w:t>Calendar</w:t>
      </w:r>
      <w:r>
        <w:rPr>
          <w:rStyle w:val="FootnoteReference"/>
          <w:color w:val="auto"/>
        </w:rPr>
        <w:footnoteReference w:id="8"/>
      </w:r>
    </w:p>
    <w:p w14:paraId="6A912311" w14:textId="58D43A29" w:rsidR="009F38C3" w:rsidRDefault="007D648E" w:rsidP="007D648E">
      <w:pPr>
        <w:pStyle w:val="Heading2"/>
      </w:pPr>
      <w:r>
        <w:t xml:space="preserve">Introduction: </w:t>
      </w:r>
      <w:r w:rsidR="00CF5D13">
        <w:t xml:space="preserve"> The Essential Lecture</w:t>
      </w:r>
    </w:p>
    <w:p w14:paraId="5CFB3058" w14:textId="7594006D" w:rsidR="0059107A" w:rsidRPr="009F62EB" w:rsidRDefault="003062F1" w:rsidP="0059107A">
      <w:r>
        <w:rPr>
          <w:b/>
          <w:u w:val="single"/>
        </w:rPr>
        <w:t>11</w:t>
      </w:r>
      <w:r w:rsidR="0059107A" w:rsidRPr="00F02C8C">
        <w:rPr>
          <w:b/>
          <w:u w:val="single"/>
        </w:rPr>
        <w:t xml:space="preserve"> Jan</w:t>
      </w:r>
      <w:r w:rsidR="009F62EB">
        <w:t xml:space="preserve"> </w:t>
      </w:r>
    </w:p>
    <w:p w14:paraId="38BEB352" w14:textId="350C638D" w:rsidR="00C77A3A" w:rsidRPr="00C77A3A" w:rsidRDefault="00C77A3A" w:rsidP="0059107A">
      <w:pPr>
        <w:ind w:left="720" w:hanging="720"/>
        <w:rPr>
          <w:i/>
        </w:rPr>
      </w:pPr>
      <w:r>
        <w:rPr>
          <w:i/>
        </w:rPr>
        <w:t xml:space="preserve">Please read before </w:t>
      </w:r>
      <w:r w:rsidR="003062F1">
        <w:rPr>
          <w:i/>
        </w:rPr>
        <w:t xml:space="preserve">lecture </w:t>
      </w:r>
      <w:r>
        <w:rPr>
          <w:i/>
        </w:rPr>
        <w:t>on 9</w:t>
      </w:r>
      <w:r w:rsidR="003062F1">
        <w:rPr>
          <w:i/>
        </w:rPr>
        <w:t xml:space="preserve"> Jan; required for discussion sections from</w:t>
      </w:r>
      <w:r>
        <w:rPr>
          <w:i/>
        </w:rPr>
        <w:t xml:space="preserve"> 9-11 Jan.</w:t>
      </w:r>
    </w:p>
    <w:p w14:paraId="185D00CF" w14:textId="4A85C5D3" w:rsidR="007D648E" w:rsidRDefault="0059107A" w:rsidP="00E82DF7">
      <w:pPr>
        <w:pStyle w:val="ListParagraph"/>
        <w:numPr>
          <w:ilvl w:val="0"/>
          <w:numId w:val="8"/>
        </w:numPr>
      </w:pPr>
      <w:r w:rsidRPr="00CF5D13">
        <w:t xml:space="preserve">Bentley, Jerry J. H. “Introduction: The Task of World History.” In </w:t>
      </w:r>
      <w:r w:rsidRPr="00E82DF7">
        <w:rPr>
          <w:i/>
        </w:rPr>
        <w:t>idem</w:t>
      </w:r>
      <w:r w:rsidRPr="00CF5D13">
        <w:t xml:space="preserve">, ed. </w:t>
      </w:r>
      <w:r w:rsidRPr="00E82DF7">
        <w:rPr>
          <w:i/>
        </w:rPr>
        <w:t>The Oxford Handbook of World History</w:t>
      </w:r>
      <w:r w:rsidR="000117A9" w:rsidRPr="00CF5D13">
        <w:t xml:space="preserve"> (2011):</w:t>
      </w:r>
      <w:r w:rsidRPr="00CF5D13">
        <w:t xml:space="preserve"> 1-16.</w:t>
      </w:r>
      <w:r w:rsidR="00CF5D13">
        <w:t xml:space="preserve"> </w:t>
      </w:r>
    </w:p>
    <w:p w14:paraId="429CA82A" w14:textId="1AADA766" w:rsidR="0059107A" w:rsidRDefault="0059107A" w:rsidP="00E82DF7">
      <w:pPr>
        <w:pStyle w:val="ListParagraph"/>
        <w:numPr>
          <w:ilvl w:val="0"/>
          <w:numId w:val="8"/>
        </w:numPr>
      </w:pPr>
      <w:r w:rsidRPr="003360EE">
        <w:t xml:space="preserve">Cohen, Jeffrey Jerome. “Monster Culture (Seven Theses).” In </w:t>
      </w:r>
      <w:r w:rsidRPr="00E82DF7">
        <w:rPr>
          <w:i/>
        </w:rPr>
        <w:t>idem</w:t>
      </w:r>
      <w:r w:rsidRPr="003360EE">
        <w:t xml:space="preserve">, ed., </w:t>
      </w:r>
      <w:r w:rsidRPr="00E82DF7">
        <w:rPr>
          <w:i/>
        </w:rPr>
        <w:t>Monster Theory: Reading Culture</w:t>
      </w:r>
      <w:r w:rsidRPr="003360EE">
        <w:t xml:space="preserve"> (1996), 3-25.</w:t>
      </w:r>
      <w:r w:rsidR="00CF5D13">
        <w:t xml:space="preserve"> </w:t>
      </w:r>
    </w:p>
    <w:p w14:paraId="54EFE2F0" w14:textId="218A7C6E" w:rsidR="007D648E" w:rsidRDefault="007D648E" w:rsidP="007D648E">
      <w:pPr>
        <w:pStyle w:val="Heading2"/>
      </w:pPr>
      <w:r>
        <w:t>Unit 1:</w:t>
      </w:r>
      <w:r w:rsidR="00CF5D13">
        <w:t xml:space="preserve">  </w:t>
      </w:r>
      <w:r>
        <w:t>Domesticating the Species (to 2000 BCE)</w:t>
      </w:r>
    </w:p>
    <w:p w14:paraId="11E1F658" w14:textId="639FD6E9" w:rsidR="0059107A" w:rsidRDefault="0059107A" w:rsidP="0059107A">
      <w:pPr>
        <w:rPr>
          <w:b/>
          <w:u w:val="single"/>
        </w:rPr>
      </w:pPr>
      <w:r w:rsidRPr="00B67548">
        <w:rPr>
          <w:b/>
          <w:u w:val="single"/>
        </w:rPr>
        <w:t>1</w:t>
      </w:r>
      <w:r w:rsidR="003062F1">
        <w:rPr>
          <w:b/>
          <w:u w:val="single"/>
        </w:rPr>
        <w:t>3</w:t>
      </w:r>
      <w:r w:rsidRPr="00B67548">
        <w:rPr>
          <w:b/>
          <w:u w:val="single"/>
        </w:rPr>
        <w:t xml:space="preserve"> Jan (Fire &amp; Cooking)</w:t>
      </w:r>
    </w:p>
    <w:p w14:paraId="0CEE3EA2" w14:textId="196B34D7" w:rsidR="00C77A3A" w:rsidRPr="00C77A3A" w:rsidRDefault="00C77A3A" w:rsidP="0059107A">
      <w:pPr>
        <w:rPr>
          <w:i/>
        </w:rPr>
      </w:pPr>
      <w:r>
        <w:rPr>
          <w:i/>
        </w:rPr>
        <w:t>Please r</w:t>
      </w:r>
      <w:r w:rsidR="00821CDB">
        <w:rPr>
          <w:i/>
        </w:rPr>
        <w:t xml:space="preserve">ead before </w:t>
      </w:r>
      <w:r w:rsidR="003062F1">
        <w:rPr>
          <w:i/>
        </w:rPr>
        <w:t>lecture on 13</w:t>
      </w:r>
      <w:r w:rsidR="00821CDB">
        <w:rPr>
          <w:i/>
        </w:rPr>
        <w:t xml:space="preserve"> Jan</w:t>
      </w:r>
      <w:r w:rsidR="003062F1">
        <w:rPr>
          <w:i/>
        </w:rPr>
        <w:t>; required for discussion sections from</w:t>
      </w:r>
      <w:r>
        <w:rPr>
          <w:i/>
        </w:rPr>
        <w:t xml:space="preserve"> 9-11 Jan.</w:t>
      </w:r>
    </w:p>
    <w:p w14:paraId="337BB5DC" w14:textId="057931C6" w:rsidR="00ED7EFF" w:rsidRDefault="00ED7EFF" w:rsidP="00E82DF7">
      <w:pPr>
        <w:pStyle w:val="ListParagraph"/>
        <w:numPr>
          <w:ilvl w:val="0"/>
          <w:numId w:val="9"/>
        </w:numPr>
      </w:pPr>
      <w:r w:rsidRPr="00CF5D13">
        <w:t xml:space="preserve">Allen, John S. “The Stone Age Transition to Home.” In </w:t>
      </w:r>
      <w:r w:rsidRPr="00E82DF7">
        <w:rPr>
          <w:i/>
        </w:rPr>
        <w:t>idem</w:t>
      </w:r>
      <w:r w:rsidRPr="00CF5D13">
        <w:t xml:space="preserve">, </w:t>
      </w:r>
      <w:r w:rsidRPr="00E82DF7">
        <w:rPr>
          <w:i/>
        </w:rPr>
        <w:t>Home</w:t>
      </w:r>
      <w:r w:rsidR="000117A9" w:rsidRPr="00CF5D13">
        <w:t xml:space="preserve"> (2015),</w:t>
      </w:r>
      <w:r w:rsidRPr="00CF5D13">
        <w:t xml:space="preserve"> 103-116.</w:t>
      </w:r>
      <w:r w:rsidR="00845E24">
        <w:t xml:space="preserve"> </w:t>
      </w:r>
    </w:p>
    <w:p w14:paraId="7E932306" w14:textId="5074B3AE" w:rsidR="00C77A3A" w:rsidRPr="00C77A3A" w:rsidRDefault="00C77A3A" w:rsidP="00E82DF7">
      <w:pPr>
        <w:pStyle w:val="ListParagraph"/>
        <w:numPr>
          <w:ilvl w:val="0"/>
          <w:numId w:val="9"/>
        </w:numPr>
      </w:pPr>
      <w:r>
        <w:t xml:space="preserve">Anonymous. </w:t>
      </w:r>
      <w:r w:rsidRPr="00E82DF7">
        <w:rPr>
          <w:i/>
        </w:rPr>
        <w:t>The Epic of Gilgamesh</w:t>
      </w:r>
      <w:r w:rsidR="00E82DF7">
        <w:t xml:space="preserve"> </w:t>
      </w:r>
    </w:p>
    <w:p w14:paraId="3F3C7732" w14:textId="233EE4D5" w:rsidR="00C77A3A" w:rsidRDefault="00C77A3A" w:rsidP="00E82DF7">
      <w:pPr>
        <w:pStyle w:val="ListParagraph"/>
        <w:numPr>
          <w:ilvl w:val="0"/>
          <w:numId w:val="9"/>
        </w:numPr>
      </w:pPr>
      <w:r>
        <w:t xml:space="preserve">Grandin, Temple &amp; Catherine Johnson. “Dogs Make Us Human.” </w:t>
      </w:r>
      <w:r w:rsidRPr="00E82DF7">
        <w:rPr>
          <w:i/>
        </w:rPr>
        <w:t>Animals in Translation</w:t>
      </w:r>
      <w:r w:rsidR="00E82DF7">
        <w:t xml:space="preserve"> (2005), 304-306. </w:t>
      </w:r>
    </w:p>
    <w:p w14:paraId="0E2F255C" w14:textId="77EDF313" w:rsidR="00ED7EFF" w:rsidRDefault="00ED7EFF" w:rsidP="00E82DF7">
      <w:pPr>
        <w:pStyle w:val="ListParagraph"/>
        <w:numPr>
          <w:ilvl w:val="0"/>
          <w:numId w:val="9"/>
        </w:numPr>
      </w:pPr>
      <w:r>
        <w:t xml:space="preserve">Leonard, W. R. “Dietary Change Was a Driving Force in Human Evolution,” </w:t>
      </w:r>
      <w:r w:rsidRPr="00E82DF7">
        <w:rPr>
          <w:i/>
        </w:rPr>
        <w:t>Scientific American</w:t>
      </w:r>
      <w:r>
        <w:t xml:space="preserve"> 288 (2002): 63-71.</w:t>
      </w:r>
    </w:p>
    <w:p w14:paraId="3C36BADC" w14:textId="77777777" w:rsidR="007938BD" w:rsidRDefault="007938BD" w:rsidP="0059107A">
      <w:pPr>
        <w:ind w:left="720" w:hanging="720"/>
      </w:pPr>
    </w:p>
    <w:p w14:paraId="2BED7D73" w14:textId="47648CBD" w:rsidR="00C77A3A" w:rsidRDefault="00C77A3A" w:rsidP="00E82DF7">
      <w:r>
        <w:rPr>
          <w:i/>
        </w:rPr>
        <w:t xml:space="preserve">For reference: </w:t>
      </w:r>
      <w:r w:rsidR="00454F79">
        <w:t>Hansen</w:t>
      </w:r>
      <w:r>
        <w:t xml:space="preserve"> &amp; Curtis, Chapter 1 (through and including “The Settlement of the Americas”), 1-18.</w:t>
      </w:r>
    </w:p>
    <w:p w14:paraId="1AAB4BF0" w14:textId="77777777" w:rsidR="007938BD" w:rsidRPr="00C77A3A" w:rsidRDefault="007938BD" w:rsidP="0059107A">
      <w:pPr>
        <w:ind w:left="720" w:hanging="720"/>
        <w:rPr>
          <w:i/>
        </w:rPr>
      </w:pPr>
    </w:p>
    <w:p w14:paraId="44BAD37E" w14:textId="4FBEA9C4" w:rsidR="00F2589E" w:rsidRDefault="00F10E26" w:rsidP="00F10E26">
      <w:pPr>
        <w:ind w:left="720" w:hanging="720"/>
        <w:rPr>
          <w:i/>
        </w:rPr>
      </w:pPr>
      <w:r>
        <w:rPr>
          <w:b/>
          <w:u w:val="single"/>
        </w:rPr>
        <w:t xml:space="preserve">18 Jan:  </w:t>
      </w:r>
      <w:r w:rsidR="00C77A3A">
        <w:rPr>
          <w:i/>
        </w:rPr>
        <w:t>I will not give a lecture today so that you can attend the special campus events planned for today. If you have a discussion section today, however, you MUST attend your section</w:t>
      </w:r>
      <w:r w:rsidR="00821CDB">
        <w:rPr>
          <w:i/>
        </w:rPr>
        <w:t xml:space="preserve"> to discuss the material for </w:t>
      </w:r>
      <w:r w:rsidR="001446A0">
        <w:rPr>
          <w:i/>
        </w:rPr>
        <w:t xml:space="preserve">today and for </w:t>
      </w:r>
      <w:r w:rsidR="00821CDB">
        <w:rPr>
          <w:i/>
        </w:rPr>
        <w:t>20 Jan</w:t>
      </w:r>
      <w:r w:rsidR="00C77A3A">
        <w:rPr>
          <w:i/>
        </w:rPr>
        <w:t>.</w:t>
      </w:r>
    </w:p>
    <w:p w14:paraId="5DBD0334" w14:textId="77777777" w:rsidR="001446A0" w:rsidRDefault="001446A0" w:rsidP="00E82DF7">
      <w:pPr>
        <w:pStyle w:val="ListParagraph"/>
        <w:numPr>
          <w:ilvl w:val="0"/>
          <w:numId w:val="10"/>
        </w:numPr>
      </w:pPr>
      <w:r>
        <w:t>Marshall, Michael. “</w:t>
      </w:r>
      <w:hyperlink r:id="rId13" w:history="1">
        <w:r w:rsidRPr="007C764D">
          <w:rPr>
            <w:rStyle w:val="Hyperlink"/>
          </w:rPr>
          <w:t>Ruined: Climate May Have Had a More Profound Impact on Past Societies than we realized</w:t>
        </w:r>
      </w:hyperlink>
      <w:r>
        <w:t xml:space="preserve">.” </w:t>
      </w:r>
      <w:r w:rsidRPr="00E82DF7">
        <w:rPr>
          <w:i/>
        </w:rPr>
        <w:t>New Scientist</w:t>
      </w:r>
      <w:r>
        <w:t xml:space="preserve"> (4 August 2012).</w:t>
      </w:r>
    </w:p>
    <w:p w14:paraId="6A4F0736" w14:textId="77777777" w:rsidR="00C77A3A" w:rsidRPr="00C77A3A" w:rsidRDefault="00C77A3A" w:rsidP="0059107A">
      <w:pPr>
        <w:ind w:left="720" w:hanging="720"/>
      </w:pPr>
    </w:p>
    <w:p w14:paraId="4E506A41" w14:textId="7E092583" w:rsidR="00F2589E" w:rsidRPr="002303EA" w:rsidRDefault="00F2589E" w:rsidP="0059107A">
      <w:pPr>
        <w:ind w:left="720" w:hanging="720"/>
        <w:rPr>
          <w:b/>
          <w:u w:val="single"/>
        </w:rPr>
      </w:pPr>
      <w:r>
        <w:rPr>
          <w:b/>
          <w:u w:val="single"/>
        </w:rPr>
        <w:t>20 Jan (Farming)</w:t>
      </w:r>
    </w:p>
    <w:p w14:paraId="6A55CBAE" w14:textId="50911479" w:rsidR="00821CDB" w:rsidRPr="00821CDB" w:rsidRDefault="00821CDB" w:rsidP="007938BD">
      <w:pPr>
        <w:ind w:left="720" w:hanging="720"/>
        <w:rPr>
          <w:i/>
        </w:rPr>
      </w:pPr>
      <w:r>
        <w:rPr>
          <w:i/>
        </w:rPr>
        <w:t>Please read before coming to the 20 Jan lecture</w:t>
      </w:r>
      <w:r w:rsidR="00D60FDF">
        <w:rPr>
          <w:i/>
        </w:rPr>
        <w:t>; required for sections from</w:t>
      </w:r>
      <w:r>
        <w:rPr>
          <w:i/>
        </w:rPr>
        <w:t xml:space="preserve"> 18-20 Jan</w:t>
      </w:r>
    </w:p>
    <w:p w14:paraId="6AF098D0" w14:textId="77777777" w:rsidR="007938BD" w:rsidRDefault="007938BD" w:rsidP="00E82DF7">
      <w:pPr>
        <w:pStyle w:val="ListParagraph"/>
        <w:numPr>
          <w:ilvl w:val="0"/>
          <w:numId w:val="10"/>
        </w:numPr>
      </w:pPr>
      <w:r>
        <w:t>Briggs, H. “</w:t>
      </w:r>
      <w:hyperlink r:id="rId14" w:history="1">
        <w:r w:rsidRPr="00767226">
          <w:rPr>
            <w:rStyle w:val="Hyperlink"/>
          </w:rPr>
          <w:t>Genetic History of Europeans Revealed</w:t>
        </w:r>
      </w:hyperlink>
      <w:r>
        <w:t xml:space="preserve">” </w:t>
      </w:r>
      <w:r w:rsidRPr="00E82DF7">
        <w:rPr>
          <w:i/>
        </w:rPr>
        <w:t xml:space="preserve">BBC </w:t>
      </w:r>
      <w:r>
        <w:t xml:space="preserve"> </w:t>
      </w:r>
      <w:r w:rsidRPr="00E82DF7">
        <w:rPr>
          <w:i/>
        </w:rPr>
        <w:t xml:space="preserve">News </w:t>
      </w:r>
      <w:r>
        <w:t xml:space="preserve">(23 November 2015). </w:t>
      </w:r>
    </w:p>
    <w:p w14:paraId="3A775C47" w14:textId="476259C0" w:rsidR="00F347C6" w:rsidRDefault="00F85448" w:rsidP="00E82DF7">
      <w:pPr>
        <w:pStyle w:val="ListParagraph"/>
        <w:numPr>
          <w:ilvl w:val="0"/>
          <w:numId w:val="10"/>
        </w:numPr>
      </w:pPr>
      <w:hyperlink r:id="rId15" w:anchor="/media/File:Ur_Nammu_code_Istanbul.jpg" w:history="1">
        <w:r w:rsidR="00F347C6" w:rsidRPr="00D662C2">
          <w:rPr>
            <w:rStyle w:val="Hyperlink"/>
          </w:rPr>
          <w:t>Code of Ur-Nammu</w:t>
        </w:r>
      </w:hyperlink>
      <w:r w:rsidR="00E82DF7">
        <w:rPr>
          <w:rStyle w:val="Hyperlink"/>
        </w:rPr>
        <w:t>.</w:t>
      </w:r>
    </w:p>
    <w:p w14:paraId="0CEE77A0" w14:textId="77777777" w:rsidR="00F347C6" w:rsidRDefault="00F347C6" w:rsidP="00E82DF7">
      <w:pPr>
        <w:pStyle w:val="ListParagraph"/>
        <w:numPr>
          <w:ilvl w:val="0"/>
          <w:numId w:val="10"/>
        </w:numPr>
      </w:pPr>
      <w:r>
        <w:t xml:space="preserve">Enheduanna, </w:t>
      </w:r>
      <w:hyperlink r:id="rId16" w:history="1">
        <w:r w:rsidRPr="00E82DF7">
          <w:rPr>
            <w:rStyle w:val="Hyperlink"/>
            <w:i/>
          </w:rPr>
          <w:t>Exaltation of Inanna</w:t>
        </w:r>
      </w:hyperlink>
      <w:r>
        <w:t>.</w:t>
      </w:r>
    </w:p>
    <w:p w14:paraId="7160B6DD" w14:textId="2319F903" w:rsidR="007A29C7" w:rsidRPr="009D3749" w:rsidRDefault="00E82DF7" w:rsidP="00E82DF7">
      <w:pPr>
        <w:pStyle w:val="ListParagraph"/>
        <w:numPr>
          <w:ilvl w:val="0"/>
          <w:numId w:val="10"/>
        </w:numPr>
      </w:pPr>
      <w:r>
        <w:t>Hymn to the Nile .</w:t>
      </w:r>
    </w:p>
    <w:p w14:paraId="73D2AA08" w14:textId="73D1E8D1" w:rsidR="007938BD" w:rsidRDefault="007938BD" w:rsidP="00E82DF7">
      <w:pPr>
        <w:pStyle w:val="ListParagraph"/>
        <w:numPr>
          <w:ilvl w:val="0"/>
          <w:numId w:val="10"/>
        </w:numPr>
      </w:pPr>
      <w:r>
        <w:t>Kenoyer, J. M. “</w:t>
      </w:r>
      <w:hyperlink r:id="rId17" w:history="1">
        <w:r w:rsidRPr="00932752">
          <w:rPr>
            <w:rStyle w:val="Hyperlink"/>
          </w:rPr>
          <w:t>Uncovering the Keys to the Lost Indus Cities</w:t>
        </w:r>
      </w:hyperlink>
      <w:r>
        <w:t xml:space="preserve">.” </w:t>
      </w:r>
      <w:r w:rsidRPr="00E82DF7">
        <w:rPr>
          <w:i/>
        </w:rPr>
        <w:t xml:space="preserve">Scientific American </w:t>
      </w:r>
      <w:r>
        <w:t xml:space="preserve"> (1 January 2005).</w:t>
      </w:r>
    </w:p>
    <w:p w14:paraId="6FCEA56E" w14:textId="68AC79FB" w:rsidR="00C77A3A" w:rsidRDefault="00C77A3A" w:rsidP="00E82DF7">
      <w:pPr>
        <w:pStyle w:val="ListParagraph"/>
        <w:numPr>
          <w:ilvl w:val="0"/>
          <w:numId w:val="10"/>
        </w:numPr>
      </w:pPr>
      <w:r>
        <w:t xml:space="preserve">Ptah-hotep, </w:t>
      </w:r>
      <w:hyperlink r:id="rId18" w:history="1">
        <w:r w:rsidRPr="00E82DF7">
          <w:rPr>
            <w:rStyle w:val="Hyperlink"/>
            <w:i/>
          </w:rPr>
          <w:t>Precepts</w:t>
        </w:r>
      </w:hyperlink>
      <w:r w:rsidR="00E82DF7">
        <w:t>.</w:t>
      </w:r>
    </w:p>
    <w:p w14:paraId="49F82600" w14:textId="3BD07683" w:rsidR="007938BD" w:rsidRDefault="00E82DF7" w:rsidP="00E82DF7">
      <w:pPr>
        <w:pStyle w:val="ListParagraph"/>
        <w:numPr>
          <w:ilvl w:val="0"/>
          <w:numId w:val="10"/>
        </w:numPr>
      </w:pPr>
      <w:r>
        <w:t>Pyramid text .</w:t>
      </w:r>
    </w:p>
    <w:p w14:paraId="2FF3B2E7" w14:textId="77777777" w:rsidR="007938BD" w:rsidRDefault="007938BD" w:rsidP="00E82DF7">
      <w:pPr>
        <w:pStyle w:val="ListParagraph"/>
        <w:numPr>
          <w:ilvl w:val="0"/>
          <w:numId w:val="10"/>
        </w:numPr>
      </w:pPr>
      <w:r>
        <w:t>“</w:t>
      </w:r>
      <w:hyperlink r:id="rId19" w:history="1">
        <w:r w:rsidRPr="00932752">
          <w:rPr>
            <w:rStyle w:val="Hyperlink"/>
          </w:rPr>
          <w:t>Rice Traced to a Single Domestication Event in China</w:t>
        </w:r>
      </w:hyperlink>
      <w:r>
        <w:t xml:space="preserve">.” </w:t>
      </w:r>
      <w:r w:rsidRPr="00E82DF7">
        <w:rPr>
          <w:i/>
        </w:rPr>
        <w:t xml:space="preserve">BBC </w:t>
      </w:r>
      <w:r>
        <w:t xml:space="preserve"> </w:t>
      </w:r>
      <w:r w:rsidRPr="00E82DF7">
        <w:rPr>
          <w:i/>
        </w:rPr>
        <w:t xml:space="preserve">News </w:t>
      </w:r>
      <w:r>
        <w:t>(3 May 2011).</w:t>
      </w:r>
    </w:p>
    <w:p w14:paraId="4BBC8FC4" w14:textId="1BE429DF" w:rsidR="007938BD" w:rsidRDefault="007938BD" w:rsidP="00E82DF7">
      <w:pPr>
        <w:pStyle w:val="ListParagraph"/>
        <w:numPr>
          <w:ilvl w:val="0"/>
          <w:numId w:val="10"/>
        </w:numPr>
      </w:pPr>
      <w:r>
        <w:t>Wilford, J. N. “</w:t>
      </w:r>
      <w:hyperlink r:id="rId20" w:history="1">
        <w:r w:rsidRPr="00190854">
          <w:rPr>
            <w:rStyle w:val="Hyperlink"/>
          </w:rPr>
          <w:t>Evidence of Ancient Civilization is Found in Peruvian Countryside</w:t>
        </w:r>
      </w:hyperlink>
      <w:r>
        <w:t xml:space="preserve">.” </w:t>
      </w:r>
      <w:r w:rsidRPr="00E82DF7">
        <w:rPr>
          <w:i/>
        </w:rPr>
        <w:t xml:space="preserve">New York Times </w:t>
      </w:r>
      <w:r>
        <w:t>(28 December 2004).</w:t>
      </w:r>
    </w:p>
    <w:p w14:paraId="3323062F" w14:textId="77777777" w:rsidR="007938BD" w:rsidRDefault="007938BD" w:rsidP="00C77A3A">
      <w:pPr>
        <w:ind w:left="720" w:hanging="720"/>
        <w:rPr>
          <w:i/>
        </w:rPr>
      </w:pPr>
    </w:p>
    <w:p w14:paraId="17187D78" w14:textId="21078A49" w:rsidR="00C77A3A" w:rsidRDefault="00C77A3A" w:rsidP="00E82DF7">
      <w:r>
        <w:rPr>
          <w:i/>
        </w:rPr>
        <w:t xml:space="preserve">For reference: </w:t>
      </w:r>
      <w:r>
        <w:t xml:space="preserve">Hansen &amp; Curtis, Chapter </w:t>
      </w:r>
      <w:r w:rsidRPr="00DB765B">
        <w:rPr>
          <w:b/>
        </w:rPr>
        <w:t>1</w:t>
      </w:r>
      <w:r>
        <w:rPr>
          <w:b/>
        </w:rPr>
        <w:t xml:space="preserve">, </w:t>
      </w:r>
      <w:r>
        <w:t>18-27</w:t>
      </w:r>
      <w:r w:rsidRPr="00DB765B">
        <w:rPr>
          <w:b/>
        </w:rPr>
        <w:t xml:space="preserve"> </w:t>
      </w:r>
      <w:r>
        <w:t xml:space="preserve">(finish); Chapter </w:t>
      </w:r>
      <w:r w:rsidRPr="00DB765B">
        <w:rPr>
          <w:b/>
        </w:rPr>
        <w:t>2</w:t>
      </w:r>
      <w:r>
        <w:t xml:space="preserve">, </w:t>
      </w:r>
      <w:r w:rsidR="007938BD">
        <w:t xml:space="preserve">28-38 (through and including “Sumerian Government”), 40-44 (Egypt up to “Egyptian Expansion”), </w:t>
      </w:r>
      <w:r>
        <w:t>57-59 (“Context and Connections,” incl</w:t>
      </w:r>
      <w:r w:rsidR="007938BD">
        <w:t>uding Time Line and Key Terms);</w:t>
      </w:r>
      <w:r w:rsidR="007938BD" w:rsidRPr="007938BD">
        <w:t xml:space="preserve"> </w:t>
      </w:r>
      <w:r w:rsidR="00F347C6">
        <w:t xml:space="preserve">Chapter </w:t>
      </w:r>
      <w:r w:rsidR="00F347C6" w:rsidRPr="00F347C6">
        <w:rPr>
          <w:b/>
        </w:rPr>
        <w:t>3</w:t>
      </w:r>
      <w:r w:rsidR="00F347C6" w:rsidRPr="00F347C6">
        <w:t xml:space="preserve">, </w:t>
      </w:r>
      <w:r w:rsidR="007938BD" w:rsidRPr="00F347C6">
        <w:t>86</w:t>
      </w:r>
      <w:r w:rsidR="007938BD">
        <w:t xml:space="preserve">-87 (“Context and Connections” including time line and key terms), 62-65 (“The Origins of Complex Societies” through and including “Complex Society in the Indus”), 84-85 (“South Asia’s External Trade”), </w:t>
      </w:r>
      <w:r w:rsidR="00D86BF6">
        <w:t xml:space="preserve">Chapter </w:t>
      </w:r>
      <w:r w:rsidR="00D86BF6" w:rsidRPr="00D86BF6">
        <w:rPr>
          <w:b/>
        </w:rPr>
        <w:t>4</w:t>
      </w:r>
      <w:r w:rsidR="00D86BF6">
        <w:t xml:space="preserve">, </w:t>
      </w:r>
      <w:r w:rsidR="007938BD" w:rsidRPr="00D86BF6">
        <w:t>90</w:t>
      </w:r>
      <w:r w:rsidR="007938BD">
        <w:t>-92</w:t>
      </w:r>
      <w:r w:rsidR="007938BD" w:rsidRPr="00DB765B">
        <w:rPr>
          <w:b/>
        </w:rPr>
        <w:t xml:space="preserve"> </w:t>
      </w:r>
      <w:r w:rsidR="007938BD">
        <w:t xml:space="preserve">(“The Origins”); </w:t>
      </w:r>
      <w:r w:rsidR="00821CDB">
        <w:t xml:space="preserve">Chapter </w:t>
      </w:r>
      <w:r w:rsidR="00821CDB">
        <w:rPr>
          <w:b/>
        </w:rPr>
        <w:t>5</w:t>
      </w:r>
      <w:r w:rsidR="00821CDB">
        <w:t xml:space="preserve">, </w:t>
      </w:r>
      <w:r w:rsidR="00554FF3">
        <w:t>116-120</w:t>
      </w:r>
      <w:r w:rsidR="007938BD">
        <w:t xml:space="preserve"> (</w:t>
      </w:r>
      <w:r w:rsidR="00554FF3">
        <w:t>up to “The Olmec</w:t>
      </w:r>
      <w:r w:rsidR="007938BD">
        <w:t>”)</w:t>
      </w:r>
      <w:r w:rsidR="00D86BF6">
        <w:t>, 132 (“Peoples”)</w:t>
      </w:r>
    </w:p>
    <w:p w14:paraId="4EBA8421" w14:textId="1CEB82D9" w:rsidR="007D648E" w:rsidRDefault="007D648E" w:rsidP="007D648E">
      <w:pPr>
        <w:pStyle w:val="Heading2"/>
      </w:pPr>
      <w:r>
        <w:t>Unit 2:</w:t>
      </w:r>
      <w:r>
        <w:tab/>
        <w:t>Men, Metals, Machines, and more Migration (to 753 BCE)</w:t>
      </w:r>
    </w:p>
    <w:p w14:paraId="463FE5F2" w14:textId="6BFC08DA" w:rsidR="001552F8" w:rsidRPr="001552F8" w:rsidRDefault="00F2589E" w:rsidP="00382C21">
      <w:pPr>
        <w:ind w:left="720" w:hanging="720"/>
        <w:rPr>
          <w:b/>
          <w:u w:val="single"/>
        </w:rPr>
      </w:pPr>
      <w:r>
        <w:rPr>
          <w:b/>
          <w:u w:val="single"/>
        </w:rPr>
        <w:t>25</w:t>
      </w:r>
      <w:r w:rsidR="001552F8">
        <w:rPr>
          <w:b/>
          <w:u w:val="single"/>
        </w:rPr>
        <w:t xml:space="preserve"> Jan (</w:t>
      </w:r>
      <w:r w:rsidR="00036910">
        <w:rPr>
          <w:b/>
          <w:u w:val="single"/>
        </w:rPr>
        <w:t>Indo-Europeans</w:t>
      </w:r>
      <w:r w:rsidR="00705E13">
        <w:rPr>
          <w:b/>
          <w:u w:val="single"/>
        </w:rPr>
        <w:t>, bronze</w:t>
      </w:r>
      <w:r w:rsidR="00036910">
        <w:rPr>
          <w:b/>
          <w:u w:val="single"/>
        </w:rPr>
        <w:t xml:space="preserve"> &amp; chariots</w:t>
      </w:r>
      <w:r w:rsidR="001552F8">
        <w:rPr>
          <w:b/>
          <w:u w:val="single"/>
        </w:rPr>
        <w:t>)</w:t>
      </w:r>
    </w:p>
    <w:p w14:paraId="0144971D" w14:textId="00F28534" w:rsidR="000C145D" w:rsidRPr="000C145D" w:rsidRDefault="00095C39" w:rsidP="005C4700">
      <w:pPr>
        <w:rPr>
          <w:i/>
        </w:rPr>
      </w:pPr>
      <w:r>
        <w:rPr>
          <w:i/>
        </w:rPr>
        <w:t>Please read before the 25 Jan lecture</w:t>
      </w:r>
      <w:r w:rsidR="00D60FDF">
        <w:rPr>
          <w:i/>
        </w:rPr>
        <w:t>; required for sections from</w:t>
      </w:r>
      <w:r>
        <w:rPr>
          <w:i/>
        </w:rPr>
        <w:t xml:space="preserve"> 25-27 Jan.</w:t>
      </w:r>
    </w:p>
    <w:p w14:paraId="50CF11AA" w14:textId="6CF276D8" w:rsidR="00881794" w:rsidRDefault="00E82DF7" w:rsidP="00E82DF7">
      <w:pPr>
        <w:pStyle w:val="ListParagraph"/>
        <w:numPr>
          <w:ilvl w:val="0"/>
          <w:numId w:val="11"/>
        </w:numPr>
      </w:pPr>
      <w:r>
        <w:t>Book of the Dead.</w:t>
      </w:r>
    </w:p>
    <w:p w14:paraId="403D6404" w14:textId="7130CB1C" w:rsidR="00B3093D" w:rsidRDefault="00B3093D" w:rsidP="00E82DF7">
      <w:pPr>
        <w:pStyle w:val="ListParagraph"/>
        <w:numPr>
          <w:ilvl w:val="0"/>
          <w:numId w:val="11"/>
        </w:numPr>
      </w:pPr>
      <w:r>
        <w:t>Cheetham, David. “</w:t>
      </w:r>
      <w:hyperlink r:id="rId21" w:history="1">
        <w:r w:rsidRPr="00B3093D">
          <w:rPr>
            <w:rStyle w:val="Hyperlink"/>
          </w:rPr>
          <w:t>The Americas’ First Colony?</w:t>
        </w:r>
      </w:hyperlink>
      <w:r>
        <w:t xml:space="preserve">” </w:t>
      </w:r>
      <w:r w:rsidRPr="00E82DF7">
        <w:rPr>
          <w:i/>
        </w:rPr>
        <w:t>Archaeology</w:t>
      </w:r>
      <w:r>
        <w:t xml:space="preserve"> (January/February 2006).</w:t>
      </w:r>
    </w:p>
    <w:p w14:paraId="465E429C" w14:textId="0C3F65D7" w:rsidR="00803A12" w:rsidRDefault="00803A12" w:rsidP="00E82DF7">
      <w:pPr>
        <w:pStyle w:val="ListParagraph"/>
        <w:numPr>
          <w:ilvl w:val="0"/>
          <w:numId w:val="11"/>
        </w:numPr>
      </w:pPr>
      <w:r>
        <w:t>Code of Hammu</w:t>
      </w:r>
      <w:r w:rsidR="00E82DF7">
        <w:t>rabi.</w:t>
      </w:r>
    </w:p>
    <w:p w14:paraId="769891BC" w14:textId="6AAB1D70" w:rsidR="00803A12" w:rsidRDefault="00803A12" w:rsidP="00E82DF7">
      <w:pPr>
        <w:pStyle w:val="ListParagraph"/>
        <w:numPr>
          <w:ilvl w:val="0"/>
          <w:numId w:val="11"/>
        </w:numPr>
      </w:pPr>
      <w:r>
        <w:t>Curse</w:t>
      </w:r>
      <w:r w:rsidR="00E82DF7">
        <w:t xml:space="preserve"> of Akkad.</w:t>
      </w:r>
    </w:p>
    <w:p w14:paraId="31B0C76A" w14:textId="16798044" w:rsidR="001F4386" w:rsidRPr="00B3093D" w:rsidRDefault="001F4386" w:rsidP="00E82DF7">
      <w:pPr>
        <w:pStyle w:val="ListParagraph"/>
        <w:numPr>
          <w:ilvl w:val="0"/>
          <w:numId w:val="11"/>
        </w:numPr>
      </w:pPr>
      <w:r>
        <w:t>“Images o</w:t>
      </w:r>
      <w:r w:rsidR="00E82DF7">
        <w:t xml:space="preserve">f Hatshepsut.” </w:t>
      </w:r>
    </w:p>
    <w:p w14:paraId="219A356C" w14:textId="77777777" w:rsidR="001B277A" w:rsidRDefault="001B277A" w:rsidP="00E82DF7">
      <w:pPr>
        <w:pStyle w:val="ListParagraph"/>
        <w:numPr>
          <w:ilvl w:val="0"/>
          <w:numId w:val="11"/>
        </w:numPr>
      </w:pPr>
      <w:r>
        <w:t>Kikkuli, “</w:t>
      </w:r>
      <w:hyperlink r:id="rId22" w:history="1">
        <w:r w:rsidRPr="00186F07">
          <w:rPr>
            <w:rStyle w:val="Hyperlink"/>
          </w:rPr>
          <w:t>Training the Chariot Horse.</w:t>
        </w:r>
      </w:hyperlink>
      <w:r>
        <w:t>”</w:t>
      </w:r>
    </w:p>
    <w:p w14:paraId="31B443DE" w14:textId="3086D15E" w:rsidR="00803A12" w:rsidRPr="000570E4" w:rsidRDefault="00803A12" w:rsidP="00E82DF7">
      <w:pPr>
        <w:pStyle w:val="ListParagraph"/>
        <w:numPr>
          <w:ilvl w:val="0"/>
          <w:numId w:val="11"/>
        </w:numPr>
      </w:pPr>
      <w:r>
        <w:t>Oracle bon</w:t>
      </w:r>
      <w:r w:rsidR="00E82DF7">
        <w:t xml:space="preserve">es questions and answers. </w:t>
      </w:r>
    </w:p>
    <w:p w14:paraId="67D641CF" w14:textId="0366358E" w:rsidR="00803A12" w:rsidRDefault="00E82DF7" w:rsidP="00E82DF7">
      <w:pPr>
        <w:pStyle w:val="ListParagraph"/>
        <w:numPr>
          <w:ilvl w:val="0"/>
          <w:numId w:val="11"/>
        </w:numPr>
      </w:pPr>
      <w:r>
        <w:t>Rig Veda.</w:t>
      </w:r>
    </w:p>
    <w:p w14:paraId="40A3B40A" w14:textId="40E87BA4" w:rsidR="004E470E" w:rsidRPr="00E82DF7" w:rsidRDefault="004E470E" w:rsidP="00E82DF7">
      <w:pPr>
        <w:pStyle w:val="ListParagraph"/>
        <w:numPr>
          <w:ilvl w:val="0"/>
          <w:numId w:val="11"/>
        </w:numPr>
        <w:tabs>
          <w:tab w:val="left" w:pos="720"/>
        </w:tabs>
        <w:rPr>
          <w:b/>
          <w:u w:val="single"/>
        </w:rPr>
      </w:pPr>
      <w:r w:rsidRPr="004E470E">
        <w:t>Wade, N. “</w:t>
      </w:r>
      <w:hyperlink r:id="rId23" w:history="1">
        <w:r w:rsidR="000C145D" w:rsidRPr="00E82DF7">
          <w:rPr>
            <w:rFonts w:ascii="Helvetica" w:hAnsi="Helvetica" w:cs="Times New Roman"/>
            <w:color w:val="00468B"/>
            <w:sz w:val="22"/>
            <w:szCs w:val="22"/>
          </w:rPr>
          <w:t>Grave of ‘Griffin Warrior’ at Pylos Could Be a Gateway to Civilizations</w:t>
        </w:r>
      </w:hyperlink>
      <w:r w:rsidR="000C145D" w:rsidRPr="00E82DF7">
        <w:rPr>
          <w:b/>
          <w:u w:val="single"/>
        </w:rPr>
        <w:t>,</w:t>
      </w:r>
      <w:r w:rsidRPr="004E470E">
        <w:t>” New York Times (26 October 2015).</w:t>
      </w:r>
    </w:p>
    <w:p w14:paraId="31DC0CAF" w14:textId="77777777" w:rsidR="000C145D" w:rsidRDefault="000C145D" w:rsidP="005C4700"/>
    <w:p w14:paraId="136803EE" w14:textId="55F02562" w:rsidR="00095C39" w:rsidRPr="00554FF3" w:rsidRDefault="00095C39" w:rsidP="00E82DF7">
      <w:pPr>
        <w:rPr>
          <w:i/>
        </w:rPr>
      </w:pPr>
      <w:r>
        <w:rPr>
          <w:i/>
        </w:rPr>
        <w:t xml:space="preserve">For reference: </w:t>
      </w:r>
      <w:r w:rsidR="00454F79">
        <w:t>Hansen</w:t>
      </w:r>
      <w:r>
        <w:t xml:space="preserve"> &amp; Curtis, Chapter </w:t>
      </w:r>
      <w:r>
        <w:rPr>
          <w:b/>
        </w:rPr>
        <w:t>2</w:t>
      </w:r>
      <w:r>
        <w:t>,</w:t>
      </w:r>
      <w:r>
        <w:rPr>
          <w:b/>
        </w:rPr>
        <w:t xml:space="preserve"> </w:t>
      </w:r>
      <w:r>
        <w:t xml:space="preserve">38-40 (“Babylonian Empire”), 44-47 (“Egyptian Expansion,” “International System” up to “Nubia in 800 BCE”), 48-49 (“The Hittites”), Chapter </w:t>
      </w:r>
      <w:r>
        <w:rPr>
          <w:b/>
        </w:rPr>
        <w:t>3</w:t>
      </w:r>
      <w:r>
        <w:t xml:space="preserve">, 65-69 (“The Spread of Indo-European…” up to “Changes after…”); Chapter </w:t>
      </w:r>
      <w:r>
        <w:rPr>
          <w:b/>
        </w:rPr>
        <w:t>4</w:t>
      </w:r>
      <w:r>
        <w:t>, 93-95 (“Early Shang…” up to “The Zhou”)</w:t>
      </w:r>
      <w:r w:rsidR="00554FF3">
        <w:t>;</w:t>
      </w:r>
      <w:r w:rsidR="000A0A15">
        <w:t xml:space="preserve"> Chapter </w:t>
      </w:r>
      <w:r w:rsidR="000A0A15">
        <w:rPr>
          <w:b/>
        </w:rPr>
        <w:t>5</w:t>
      </w:r>
      <w:r w:rsidR="000A0A15">
        <w:t>, 120-121 (“The Olmec”); 133-136 (“Andes” [continued] up to “Polynesian Seafaring”)</w:t>
      </w:r>
      <w:r w:rsidR="00554FF3">
        <w:t>.</w:t>
      </w:r>
    </w:p>
    <w:p w14:paraId="186B7D42" w14:textId="77777777" w:rsidR="00095C39" w:rsidRDefault="00095C39" w:rsidP="00095C39">
      <w:pPr>
        <w:ind w:left="720"/>
      </w:pPr>
    </w:p>
    <w:p w14:paraId="6099931E" w14:textId="775674CF" w:rsidR="007D648E" w:rsidRDefault="00F2589E" w:rsidP="007D648E">
      <w:pPr>
        <w:rPr>
          <w:b/>
          <w:u w:val="single"/>
        </w:rPr>
      </w:pPr>
      <w:r>
        <w:rPr>
          <w:b/>
          <w:u w:val="single"/>
        </w:rPr>
        <w:t>27</w:t>
      </w:r>
      <w:r w:rsidR="001552F8">
        <w:rPr>
          <w:b/>
          <w:u w:val="single"/>
        </w:rPr>
        <w:t xml:space="preserve"> Jan (Iron)</w:t>
      </w:r>
    </w:p>
    <w:p w14:paraId="7E0F8831" w14:textId="34E8A900" w:rsidR="003062F1" w:rsidRPr="003062F1" w:rsidRDefault="003062F1" w:rsidP="00803A12">
      <w:pPr>
        <w:ind w:left="720" w:hanging="720"/>
        <w:rPr>
          <w:i/>
        </w:rPr>
      </w:pPr>
      <w:r>
        <w:rPr>
          <w:i/>
        </w:rPr>
        <w:t>Please read before coming to the 27 Jan lecture or for section between 25-27 Jan</w:t>
      </w:r>
    </w:p>
    <w:p w14:paraId="352E58C1" w14:textId="58C9A018" w:rsidR="005B38A6" w:rsidRDefault="00E82DF7" w:rsidP="00E82DF7">
      <w:pPr>
        <w:pStyle w:val="ListParagraph"/>
        <w:numPr>
          <w:ilvl w:val="0"/>
          <w:numId w:val="12"/>
        </w:numPr>
      </w:pPr>
      <w:r>
        <w:t>Exodus.</w:t>
      </w:r>
    </w:p>
    <w:p w14:paraId="0669DF3A" w14:textId="51795500" w:rsidR="005B38A6" w:rsidRPr="005B38A6" w:rsidRDefault="00E82DF7" w:rsidP="00E82DF7">
      <w:pPr>
        <w:pStyle w:val="ListParagraph"/>
        <w:numPr>
          <w:ilvl w:val="0"/>
          <w:numId w:val="12"/>
        </w:numPr>
      </w:pPr>
      <w:r>
        <w:t>Genesis.</w:t>
      </w:r>
    </w:p>
    <w:p w14:paraId="1D38D6DD" w14:textId="509C3E8D" w:rsidR="008016A8" w:rsidRDefault="008016A8" w:rsidP="00E82DF7">
      <w:pPr>
        <w:pStyle w:val="ListParagraph"/>
        <w:numPr>
          <w:ilvl w:val="0"/>
          <w:numId w:val="12"/>
        </w:numPr>
      </w:pPr>
      <w:r>
        <w:t xml:space="preserve">Homer, </w:t>
      </w:r>
      <w:r w:rsidRPr="00E82DF7">
        <w:rPr>
          <w:i/>
        </w:rPr>
        <w:t>Iliad</w:t>
      </w:r>
      <w:r w:rsidR="00E82DF7">
        <w:t xml:space="preserve">. </w:t>
      </w:r>
    </w:p>
    <w:p w14:paraId="652FDF06" w14:textId="151875FA" w:rsidR="00A52683" w:rsidRPr="005B38A6" w:rsidRDefault="00A52683" w:rsidP="00E82DF7">
      <w:pPr>
        <w:pStyle w:val="ListParagraph"/>
        <w:numPr>
          <w:ilvl w:val="0"/>
          <w:numId w:val="12"/>
        </w:numPr>
      </w:pPr>
      <w:r w:rsidRPr="00E82DF7">
        <w:rPr>
          <w:i/>
        </w:rPr>
        <w:t>Mahabharata</w:t>
      </w:r>
      <w:r w:rsidR="00E82DF7">
        <w:rPr>
          <w:i/>
        </w:rPr>
        <w:t>.</w:t>
      </w:r>
      <w:r>
        <w:t xml:space="preserve"> </w:t>
      </w:r>
    </w:p>
    <w:p w14:paraId="12079108" w14:textId="57957A9E" w:rsidR="007C764D" w:rsidRDefault="00186F07" w:rsidP="00E82DF7">
      <w:pPr>
        <w:pStyle w:val="ListParagraph"/>
        <w:numPr>
          <w:ilvl w:val="0"/>
          <w:numId w:val="12"/>
        </w:numPr>
      </w:pPr>
      <w:r w:rsidRPr="00E82DF7">
        <w:rPr>
          <w:i/>
        </w:rPr>
        <w:t>Shih ching</w:t>
      </w:r>
      <w:r w:rsidR="00E82DF7">
        <w:t>, Ode 245.</w:t>
      </w:r>
    </w:p>
    <w:p w14:paraId="0E43ED01" w14:textId="2FCD82E3" w:rsidR="00941C69" w:rsidRPr="00941C69" w:rsidRDefault="00941C69" w:rsidP="00E82DF7">
      <w:pPr>
        <w:pStyle w:val="ListParagraph"/>
        <w:numPr>
          <w:ilvl w:val="0"/>
          <w:numId w:val="12"/>
        </w:numPr>
      </w:pPr>
      <w:r>
        <w:t>Veidhuijzen, Harald &amp; Eveline Van Der Steen, “</w:t>
      </w:r>
      <w:hyperlink r:id="rId24" w:history="1">
        <w:r w:rsidRPr="00941C69">
          <w:rPr>
            <w:rStyle w:val="Hyperlink"/>
          </w:rPr>
          <w:t>Early Iron Smelting</w:t>
        </w:r>
      </w:hyperlink>
      <w:r>
        <w:t xml:space="preserve">.” </w:t>
      </w:r>
      <w:r w:rsidRPr="00E82DF7">
        <w:rPr>
          <w:i/>
        </w:rPr>
        <w:t>Archaeology</w:t>
      </w:r>
      <w:r>
        <w:t xml:space="preserve"> 53.1 (2000).</w:t>
      </w:r>
    </w:p>
    <w:p w14:paraId="7509D9C6" w14:textId="77777777" w:rsidR="00186F07" w:rsidRDefault="00186F07" w:rsidP="007D648E"/>
    <w:p w14:paraId="322E79CF" w14:textId="6ADC8C83" w:rsidR="00095C39" w:rsidRPr="00554FF3" w:rsidRDefault="00095C39" w:rsidP="00E82DF7">
      <w:r>
        <w:rPr>
          <w:i/>
        </w:rPr>
        <w:t>For reference:</w:t>
      </w:r>
      <w:r>
        <w:t xml:space="preserve"> </w:t>
      </w:r>
      <w:r w:rsidR="00454F79">
        <w:t>Hansen</w:t>
      </w:r>
      <w:r>
        <w:t xml:space="preserve"> &amp; Curtis, Chapter </w:t>
      </w:r>
      <w:r>
        <w:rPr>
          <w:b/>
        </w:rPr>
        <w:t>2</w:t>
      </w:r>
      <w:r>
        <w:t xml:space="preserve">, 47- 48 (“The Kingdom of Nubia”), </w:t>
      </w:r>
      <w:r w:rsidR="00D86BF6">
        <w:t>52-57 (through</w:t>
      </w:r>
      <w:r w:rsidR="00036910">
        <w:t xml:space="preserve"> the “Babylonian Captivity”)</w:t>
      </w:r>
      <w:r w:rsidR="008477B5">
        <w:t xml:space="preserve">; Chapter </w:t>
      </w:r>
      <w:r w:rsidR="008477B5">
        <w:rPr>
          <w:b/>
        </w:rPr>
        <w:t>3</w:t>
      </w:r>
      <w:r w:rsidR="008477B5">
        <w:t xml:space="preserve"> 70-72 (“Changes after 1000 BCE); Chapter </w:t>
      </w:r>
      <w:r w:rsidR="008477B5">
        <w:rPr>
          <w:b/>
        </w:rPr>
        <w:t>4</w:t>
      </w:r>
      <w:r w:rsidR="000A0A15">
        <w:t xml:space="preserve"> 95- 96</w:t>
      </w:r>
      <w:r w:rsidR="008477B5">
        <w:t xml:space="preserve"> (“The Zhou”)</w:t>
      </w:r>
      <w:r w:rsidR="00554FF3">
        <w:t xml:space="preserve">; Chapter </w:t>
      </w:r>
      <w:r w:rsidR="00554FF3" w:rsidRPr="00D86BF6">
        <w:rPr>
          <w:b/>
        </w:rPr>
        <w:t>6</w:t>
      </w:r>
      <w:r w:rsidR="00554FF3">
        <w:t xml:space="preserve">, </w:t>
      </w:r>
      <w:r w:rsidR="000A0A15">
        <w:t>155, 158 (“Ancient Greece…” and “Greek Expansion”)</w:t>
      </w:r>
      <w:r w:rsidR="00554FF3">
        <w:t xml:space="preserve"> </w:t>
      </w:r>
      <w:r w:rsidR="003D0559">
        <w:t>158- 161 (“The Phoenicians” through “Rise of the Greek City States”).</w:t>
      </w:r>
    </w:p>
    <w:p w14:paraId="171EE7D2" w14:textId="77777777" w:rsidR="007D648E" w:rsidRDefault="007D648E" w:rsidP="007D648E">
      <w:pPr>
        <w:pStyle w:val="Heading2"/>
      </w:pPr>
      <w:r>
        <w:t>Unit 3:</w:t>
      </w:r>
      <w:r>
        <w:tab/>
        <w:t>How Should We Live Now? (509 BCE)</w:t>
      </w:r>
    </w:p>
    <w:p w14:paraId="4ACC1372" w14:textId="58E82C49" w:rsidR="00F2589E" w:rsidRPr="00F10E26" w:rsidRDefault="00F2589E" w:rsidP="00F2589E">
      <w:pPr>
        <w:rPr>
          <w:b/>
          <w:u w:val="single"/>
        </w:rPr>
      </w:pPr>
      <w:r>
        <w:rPr>
          <w:b/>
          <w:u w:val="single"/>
        </w:rPr>
        <w:t xml:space="preserve">1 </w:t>
      </w:r>
      <w:r w:rsidRPr="00F10E26">
        <w:rPr>
          <w:b/>
          <w:u w:val="single"/>
        </w:rPr>
        <w:t>Feb</w:t>
      </w:r>
      <w:r w:rsidR="00F15FD6" w:rsidRPr="00F10E26">
        <w:rPr>
          <w:b/>
          <w:u w:val="single"/>
        </w:rPr>
        <w:t xml:space="preserve"> (The Mediterranean)</w:t>
      </w:r>
    </w:p>
    <w:p w14:paraId="67FB81E7" w14:textId="77777777" w:rsidR="00096593" w:rsidRDefault="00096593" w:rsidP="00096593">
      <w:r>
        <w:rPr>
          <w:i/>
        </w:rPr>
        <w:t>Please read before lecture on 1 Feb; required for sections from 1-3 Feb</w:t>
      </w:r>
    </w:p>
    <w:p w14:paraId="7393EEB0" w14:textId="67E0E325" w:rsidR="00222C31" w:rsidRPr="00222C31" w:rsidRDefault="00222C31" w:rsidP="00E82DF7">
      <w:pPr>
        <w:pStyle w:val="ListParagraph"/>
        <w:numPr>
          <w:ilvl w:val="0"/>
          <w:numId w:val="13"/>
        </w:numPr>
      </w:pPr>
      <w:r w:rsidRPr="00E82DF7">
        <w:rPr>
          <w:i/>
        </w:rPr>
        <w:t>1</w:t>
      </w:r>
      <w:r w:rsidR="00E82DF7" w:rsidRPr="00E82DF7">
        <w:rPr>
          <w:i/>
        </w:rPr>
        <w:t>2 Tables</w:t>
      </w:r>
      <w:r w:rsidR="00E82DF7">
        <w:t>.</w:t>
      </w:r>
    </w:p>
    <w:p w14:paraId="15EFBA7A" w14:textId="34D0284B" w:rsidR="00845E24" w:rsidRPr="003630F6" w:rsidRDefault="00E82DF7" w:rsidP="00E82DF7">
      <w:pPr>
        <w:pStyle w:val="ListParagraph"/>
        <w:numPr>
          <w:ilvl w:val="0"/>
          <w:numId w:val="13"/>
        </w:numPr>
      </w:pPr>
      <w:r>
        <w:t>Behistun Inscription.</w:t>
      </w:r>
    </w:p>
    <w:p w14:paraId="128C711E" w14:textId="01CD70B4" w:rsidR="00CD5FF4" w:rsidRDefault="00E82DF7" w:rsidP="00E82DF7">
      <w:pPr>
        <w:pStyle w:val="ListParagraph"/>
        <w:numPr>
          <w:ilvl w:val="0"/>
          <w:numId w:val="13"/>
        </w:numPr>
      </w:pPr>
      <w:r>
        <w:t>Book of Esther.</w:t>
      </w:r>
    </w:p>
    <w:p w14:paraId="6D6324F7" w14:textId="03E2ADE5" w:rsidR="00222C31" w:rsidRDefault="00E82DF7" w:rsidP="00E82DF7">
      <w:pPr>
        <w:pStyle w:val="ListParagraph"/>
        <w:numPr>
          <w:ilvl w:val="0"/>
          <w:numId w:val="13"/>
        </w:numPr>
      </w:pPr>
      <w:r>
        <w:t xml:space="preserve">Plato. “Republic.” </w:t>
      </w:r>
    </w:p>
    <w:p w14:paraId="6394176C" w14:textId="1C2C5AAD" w:rsidR="00222C31" w:rsidRDefault="00222C31" w:rsidP="00E82DF7">
      <w:pPr>
        <w:pStyle w:val="ListParagraph"/>
        <w:numPr>
          <w:ilvl w:val="0"/>
          <w:numId w:val="13"/>
        </w:numPr>
      </w:pPr>
      <w:r>
        <w:t>Thucydides, “Pe</w:t>
      </w:r>
      <w:r w:rsidR="00E82DF7">
        <w:t xml:space="preserve">ricles’ Funeral Oration.” </w:t>
      </w:r>
    </w:p>
    <w:p w14:paraId="1212EC23" w14:textId="77777777" w:rsidR="00F2589E" w:rsidRDefault="00F2589E" w:rsidP="00F2589E">
      <w:pPr>
        <w:rPr>
          <w:b/>
          <w:u w:val="single"/>
        </w:rPr>
      </w:pPr>
    </w:p>
    <w:p w14:paraId="7FB6E6B7" w14:textId="33DFE2D8" w:rsidR="000A0A15" w:rsidRPr="00096593" w:rsidRDefault="000A0A15" w:rsidP="00F2589E">
      <w:r>
        <w:rPr>
          <w:i/>
        </w:rPr>
        <w:t>For reference</w:t>
      </w:r>
      <w:r>
        <w:t xml:space="preserve">: </w:t>
      </w:r>
      <w:r w:rsidR="00F15FD6">
        <w:t xml:space="preserve"> </w:t>
      </w:r>
      <w:r w:rsidR="00F10E26">
        <w:t xml:space="preserve">Hansen &amp; Curtis, </w:t>
      </w:r>
      <w:r w:rsidR="00F15FD6">
        <w:t xml:space="preserve">Chapter </w:t>
      </w:r>
      <w:r w:rsidR="00F15FD6">
        <w:rPr>
          <w:b/>
        </w:rPr>
        <w:t xml:space="preserve">6, </w:t>
      </w:r>
      <w:r w:rsidR="00F15FD6">
        <w:t>144- 155</w:t>
      </w:r>
      <w:r>
        <w:t xml:space="preserve"> (“</w:t>
      </w:r>
      <w:r w:rsidR="00096593">
        <w:t>Herodotus</w:t>
      </w:r>
      <w:r>
        <w:t xml:space="preserve">” </w:t>
      </w:r>
      <w:r w:rsidR="00096593">
        <w:t>through “</w:t>
      </w:r>
      <w:r>
        <w:t>Darius’</w:t>
      </w:r>
      <w:r w:rsidR="00096593">
        <w:t xml:space="preserve"> Administration</w:t>
      </w:r>
      <w:r>
        <w:t>”);</w:t>
      </w:r>
      <w:r w:rsidR="00096593">
        <w:t xml:space="preserve"> 156-157 (“Parade of Nations”), 161-166 (“Greco-Persian” up to “Alexander”); Chapter </w:t>
      </w:r>
      <w:r w:rsidR="00096593">
        <w:rPr>
          <w:b/>
        </w:rPr>
        <w:t>7</w:t>
      </w:r>
      <w:r w:rsidR="00096593">
        <w:t>, 181-182 (“Roman Republic” and “Early Republic”).</w:t>
      </w:r>
    </w:p>
    <w:p w14:paraId="7BAB7D84" w14:textId="77777777" w:rsidR="00096593" w:rsidRPr="000A0A15" w:rsidRDefault="00096593" w:rsidP="00F2589E"/>
    <w:p w14:paraId="569C8AFB" w14:textId="5DF7D6B1" w:rsidR="00F2589E" w:rsidRPr="00F10E26" w:rsidRDefault="00F2589E" w:rsidP="00F2589E">
      <w:pPr>
        <w:rPr>
          <w:b/>
          <w:u w:val="single"/>
        </w:rPr>
      </w:pPr>
      <w:r>
        <w:rPr>
          <w:b/>
          <w:u w:val="single"/>
        </w:rPr>
        <w:t xml:space="preserve">3 </w:t>
      </w:r>
      <w:r w:rsidRPr="00F10E26">
        <w:rPr>
          <w:b/>
          <w:u w:val="single"/>
        </w:rPr>
        <w:t>Feb</w:t>
      </w:r>
      <w:r w:rsidR="00F15FD6" w:rsidRPr="00F10E26">
        <w:rPr>
          <w:b/>
          <w:u w:val="single"/>
        </w:rPr>
        <w:t xml:space="preserve"> (East, West and South)</w:t>
      </w:r>
    </w:p>
    <w:p w14:paraId="5BCC4799" w14:textId="5AD31830" w:rsidR="00F15FD6" w:rsidRPr="00F15FD6" w:rsidRDefault="00F15FD6" w:rsidP="00F2589E">
      <w:pPr>
        <w:rPr>
          <w:i/>
        </w:rPr>
      </w:pPr>
      <w:r>
        <w:rPr>
          <w:i/>
        </w:rPr>
        <w:t>Please read before lecture on 3 Feb; required for sections from 1-3 Feb</w:t>
      </w:r>
    </w:p>
    <w:p w14:paraId="2ADE0C2C" w14:textId="653B0003" w:rsidR="00222C31" w:rsidRDefault="00222C31" w:rsidP="00222C31">
      <w:pPr>
        <w:ind w:left="720" w:hanging="720"/>
      </w:pPr>
      <w:r>
        <w:t>Atwood, Roger. “</w:t>
      </w:r>
      <w:hyperlink r:id="rId25" w:history="1">
        <w:r w:rsidRPr="003630F6">
          <w:rPr>
            <w:rStyle w:val="Hyperlink"/>
          </w:rPr>
          <w:t>The Nok of Nigeria</w:t>
        </w:r>
      </w:hyperlink>
      <w:r>
        <w:t xml:space="preserve">.” </w:t>
      </w:r>
      <w:r>
        <w:rPr>
          <w:i/>
        </w:rPr>
        <w:t>Archaeology</w:t>
      </w:r>
      <w:r>
        <w:t xml:space="preserve"> 64 (2011).</w:t>
      </w:r>
      <w:r w:rsidR="002A031E">
        <w:t xml:space="preserve"> 4</w:t>
      </w:r>
    </w:p>
    <w:p w14:paraId="6F8B34BC" w14:textId="3192373D" w:rsidR="00222C31" w:rsidRPr="005677C1" w:rsidRDefault="00222C31" w:rsidP="00E82DF7">
      <w:pPr>
        <w:pStyle w:val="ListParagraph"/>
        <w:numPr>
          <w:ilvl w:val="0"/>
          <w:numId w:val="14"/>
        </w:numPr>
      </w:pPr>
      <w:r w:rsidRPr="00E82DF7">
        <w:rPr>
          <w:i/>
        </w:rPr>
        <w:t>Baghavad Gita</w:t>
      </w:r>
      <w:r w:rsidR="00E82DF7">
        <w:t>.</w:t>
      </w:r>
    </w:p>
    <w:p w14:paraId="1B9CB533" w14:textId="307A1D45" w:rsidR="00222C31" w:rsidRPr="003630F6" w:rsidRDefault="00E82DF7" w:rsidP="00E82DF7">
      <w:pPr>
        <w:pStyle w:val="ListParagraph"/>
        <w:numPr>
          <w:ilvl w:val="0"/>
          <w:numId w:val="14"/>
        </w:numPr>
      </w:pPr>
      <w:r>
        <w:t xml:space="preserve">Buddha. </w:t>
      </w:r>
      <w:r w:rsidRPr="00E82DF7">
        <w:rPr>
          <w:i/>
        </w:rPr>
        <w:t>Benares Sermon</w:t>
      </w:r>
      <w:r>
        <w:t>.</w:t>
      </w:r>
    </w:p>
    <w:p w14:paraId="6E709922" w14:textId="3968601B" w:rsidR="00222C31" w:rsidRDefault="00222C31" w:rsidP="00E82DF7">
      <w:pPr>
        <w:pStyle w:val="ListParagraph"/>
        <w:numPr>
          <w:ilvl w:val="0"/>
          <w:numId w:val="14"/>
        </w:numPr>
      </w:pPr>
      <w:r>
        <w:t>Confucius</w:t>
      </w:r>
      <w:r w:rsidR="00E82DF7">
        <w:t>.</w:t>
      </w:r>
      <w:r>
        <w:t xml:space="preserve"> </w:t>
      </w:r>
      <w:r w:rsidR="00E82DF7" w:rsidRPr="00E82DF7">
        <w:rPr>
          <w:i/>
        </w:rPr>
        <w:t>Analects.</w:t>
      </w:r>
    </w:p>
    <w:p w14:paraId="04053AB6" w14:textId="1768EE7D" w:rsidR="00D82838" w:rsidRDefault="00E82DF7" w:rsidP="00E82DF7">
      <w:pPr>
        <w:pStyle w:val="ListParagraph"/>
        <w:numPr>
          <w:ilvl w:val="0"/>
          <w:numId w:val="14"/>
        </w:numPr>
      </w:pPr>
      <w:r w:rsidRPr="00E82DF7">
        <w:rPr>
          <w:i/>
        </w:rPr>
        <w:t>Dao de Jing</w:t>
      </w:r>
      <w:r>
        <w:t>.</w:t>
      </w:r>
    </w:p>
    <w:p w14:paraId="0FC8A761" w14:textId="3C554617" w:rsidR="00222C31" w:rsidRDefault="00222C31" w:rsidP="00E82DF7">
      <w:pPr>
        <w:pStyle w:val="ListParagraph"/>
        <w:numPr>
          <w:ilvl w:val="0"/>
          <w:numId w:val="14"/>
        </w:numPr>
      </w:pPr>
      <w:r>
        <w:t>Inomata, Takeshi. “</w:t>
      </w:r>
      <w:hyperlink r:id="rId26" w:history="1">
        <w:r w:rsidRPr="00066F81">
          <w:rPr>
            <w:rStyle w:val="Hyperlink"/>
          </w:rPr>
          <w:t>Maya Axes, and Moles under the Pyramid</w:t>
        </w:r>
      </w:hyperlink>
      <w:r>
        <w:t xml:space="preserve">.” </w:t>
      </w:r>
      <w:r w:rsidRPr="00E82DF7">
        <w:rPr>
          <w:i/>
        </w:rPr>
        <w:t>New York Times</w:t>
      </w:r>
      <w:r w:rsidR="00E82DF7">
        <w:t xml:space="preserve"> (1 March 2011). </w:t>
      </w:r>
    </w:p>
    <w:p w14:paraId="23322FA0" w14:textId="65F0241B" w:rsidR="00222C31" w:rsidRDefault="00222C31" w:rsidP="00E82DF7">
      <w:pPr>
        <w:pStyle w:val="ListParagraph"/>
        <w:numPr>
          <w:ilvl w:val="0"/>
          <w:numId w:val="14"/>
        </w:numPr>
      </w:pPr>
      <w:r>
        <w:t>Smith, Julian. “</w:t>
      </w:r>
      <w:hyperlink r:id="rId27" w:history="1">
        <w:r w:rsidRPr="00B7368E">
          <w:rPr>
            <w:rStyle w:val="Hyperlink"/>
          </w:rPr>
          <w:t>Listening to the Gods of Ancient Peru</w:t>
        </w:r>
      </w:hyperlink>
      <w:r>
        <w:t xml:space="preserve">.” </w:t>
      </w:r>
      <w:r w:rsidRPr="00E82DF7">
        <w:rPr>
          <w:i/>
        </w:rPr>
        <w:t>Archaeology</w:t>
      </w:r>
      <w:r>
        <w:t xml:space="preserve"> 64.4 (2011)</w:t>
      </w:r>
      <w:r w:rsidR="00E82DF7">
        <w:t>.</w:t>
      </w:r>
    </w:p>
    <w:p w14:paraId="3FE99C08" w14:textId="48657EBC" w:rsidR="00222C31" w:rsidRDefault="00222C31" w:rsidP="00E82DF7">
      <w:pPr>
        <w:pStyle w:val="ListParagraph"/>
        <w:numPr>
          <w:ilvl w:val="0"/>
          <w:numId w:val="14"/>
        </w:numPr>
      </w:pPr>
      <w:r>
        <w:t>Weiss, Daniel. “</w:t>
      </w:r>
      <w:hyperlink r:id="rId28" w:history="1">
        <w:r w:rsidRPr="00AE3FB5">
          <w:rPr>
            <w:rStyle w:val="Hyperlink"/>
          </w:rPr>
          <w:t>The Cult of Amon</w:t>
        </w:r>
      </w:hyperlink>
      <w:r>
        <w:t xml:space="preserve">.” </w:t>
      </w:r>
      <w:r w:rsidRPr="00E82DF7">
        <w:rPr>
          <w:i/>
        </w:rPr>
        <w:t>Archaeology</w:t>
      </w:r>
      <w:r>
        <w:t xml:space="preserve"> </w:t>
      </w:r>
      <w:r w:rsidR="00E82DF7">
        <w:t xml:space="preserve">(17 April 2017). </w:t>
      </w:r>
    </w:p>
    <w:p w14:paraId="5759CBD7" w14:textId="4312E580" w:rsidR="00222C31" w:rsidRDefault="00E82DF7" w:rsidP="00E82DF7">
      <w:pPr>
        <w:pStyle w:val="ListParagraph"/>
        <w:numPr>
          <w:ilvl w:val="0"/>
          <w:numId w:val="14"/>
        </w:numPr>
      </w:pPr>
      <w:r>
        <w:t>Zuo Zhuan.</w:t>
      </w:r>
      <w:r w:rsidR="00222C31">
        <w:t xml:space="preserve"> </w:t>
      </w:r>
      <w:r>
        <w:t xml:space="preserve">“Mother &amp; Son.” </w:t>
      </w:r>
    </w:p>
    <w:p w14:paraId="123CC5C1" w14:textId="77777777" w:rsidR="00F2589E" w:rsidRDefault="00F2589E" w:rsidP="00F2589E">
      <w:pPr>
        <w:rPr>
          <w:b/>
          <w:u w:val="single"/>
        </w:rPr>
      </w:pPr>
    </w:p>
    <w:p w14:paraId="7F4E452A" w14:textId="2F0E36E3" w:rsidR="00096593" w:rsidRDefault="00096593" w:rsidP="00F2589E">
      <w:r>
        <w:rPr>
          <w:i/>
        </w:rPr>
        <w:t>For reference:</w:t>
      </w:r>
      <w:r>
        <w:t xml:space="preserve"> </w:t>
      </w:r>
      <w:r w:rsidR="00F10E26">
        <w:t xml:space="preserve">Hansen &amp; Curtis, </w:t>
      </w:r>
      <w:r>
        <w:t xml:space="preserve">Chapter </w:t>
      </w:r>
      <w:r>
        <w:rPr>
          <w:b/>
        </w:rPr>
        <w:t>3</w:t>
      </w:r>
      <w:r>
        <w:t xml:space="preserve">, 72-74 (“The Rise of Buddhism” up to “The Mauryan…”); Chapter </w:t>
      </w:r>
      <w:r>
        <w:rPr>
          <w:b/>
        </w:rPr>
        <w:t>4</w:t>
      </w:r>
      <w:r>
        <w:t xml:space="preserve">, 96-97 (“Confucianism” and “Daoism”); Chapter </w:t>
      </w:r>
      <w:r>
        <w:rPr>
          <w:b/>
        </w:rPr>
        <w:t>5</w:t>
      </w:r>
      <w:r>
        <w:t>, 128-129 (“Ball Game”, 131-132 (“Northern Peoples”).</w:t>
      </w:r>
    </w:p>
    <w:p w14:paraId="27BC71A4" w14:textId="77777777" w:rsidR="00096593" w:rsidRPr="00096593" w:rsidRDefault="00096593" w:rsidP="00F2589E"/>
    <w:p w14:paraId="407B41E6" w14:textId="0A2A479D" w:rsidR="00F2589E" w:rsidRPr="00F2589E" w:rsidRDefault="00F2589E" w:rsidP="00F2589E">
      <w:r>
        <w:rPr>
          <w:b/>
          <w:u w:val="single"/>
        </w:rPr>
        <w:t>8 Feb</w:t>
      </w:r>
      <w:r>
        <w:tab/>
      </w:r>
      <w:r>
        <w:tab/>
      </w:r>
      <w:r>
        <w:rPr>
          <w:b/>
        </w:rPr>
        <w:t xml:space="preserve">Midterm </w:t>
      </w:r>
      <w:r>
        <w:t xml:space="preserve">(covering material up through 3 </w:t>
      </w:r>
      <w:r w:rsidR="00D54C52">
        <w:t>February</w:t>
      </w:r>
      <w:r>
        <w:t>)</w:t>
      </w:r>
    </w:p>
    <w:p w14:paraId="5C574CFD" w14:textId="77777777" w:rsidR="007D648E" w:rsidRDefault="007D648E" w:rsidP="007D648E">
      <w:pPr>
        <w:pStyle w:val="Heading2"/>
      </w:pPr>
      <w:r>
        <w:t>Unit 4:</w:t>
      </w:r>
      <w:r>
        <w:tab/>
        <w:t>Imperialism I: unity from diversity (338 BCE)</w:t>
      </w:r>
    </w:p>
    <w:p w14:paraId="0601E863" w14:textId="75DA9F1A" w:rsidR="00F2589E" w:rsidRPr="00F10E26" w:rsidRDefault="000901A7" w:rsidP="00F2589E">
      <w:pPr>
        <w:rPr>
          <w:b/>
          <w:u w:val="single"/>
        </w:rPr>
      </w:pPr>
      <w:r>
        <w:rPr>
          <w:b/>
          <w:u w:val="single"/>
        </w:rPr>
        <w:t xml:space="preserve">10 </w:t>
      </w:r>
      <w:r w:rsidRPr="00F10E26">
        <w:rPr>
          <w:b/>
          <w:u w:val="single"/>
        </w:rPr>
        <w:t>Feb</w:t>
      </w:r>
      <w:r w:rsidR="00EF42F9" w:rsidRPr="00F10E26">
        <w:rPr>
          <w:b/>
          <w:u w:val="single"/>
        </w:rPr>
        <w:t xml:space="preserve"> (Alexander joins east and west)</w:t>
      </w:r>
    </w:p>
    <w:p w14:paraId="60FF4DD5" w14:textId="7F99AA33" w:rsidR="00D54C52" w:rsidRPr="00D54C52" w:rsidRDefault="00D54C52" w:rsidP="00F2589E">
      <w:pPr>
        <w:rPr>
          <w:i/>
        </w:rPr>
      </w:pPr>
      <w:r>
        <w:rPr>
          <w:i/>
        </w:rPr>
        <w:t>Plea</w:t>
      </w:r>
      <w:r w:rsidR="000901A7">
        <w:rPr>
          <w:i/>
        </w:rPr>
        <w:t>se read before lecture on 10 Feb</w:t>
      </w:r>
      <w:r>
        <w:rPr>
          <w:i/>
        </w:rPr>
        <w:t>; requi</w:t>
      </w:r>
      <w:r w:rsidR="000901A7">
        <w:rPr>
          <w:i/>
        </w:rPr>
        <w:t>red for sections during 8-10 Feb</w:t>
      </w:r>
    </w:p>
    <w:p w14:paraId="3962AB23" w14:textId="5ABE4908" w:rsidR="00845E24" w:rsidRPr="00A26AC8" w:rsidRDefault="00E82DF7" w:rsidP="00E82DF7">
      <w:pPr>
        <w:pStyle w:val="ListParagraph"/>
        <w:numPr>
          <w:ilvl w:val="0"/>
          <w:numId w:val="15"/>
        </w:numPr>
      </w:pPr>
      <w:r>
        <w:t xml:space="preserve">Aristotle, </w:t>
      </w:r>
      <w:r w:rsidRPr="00E82DF7">
        <w:rPr>
          <w:i/>
        </w:rPr>
        <w:t>Politica</w:t>
      </w:r>
      <w:r>
        <w:rPr>
          <w:i/>
        </w:rPr>
        <w:t>.</w:t>
      </w:r>
    </w:p>
    <w:p w14:paraId="3C690B8C" w14:textId="53ED1141" w:rsidR="008D5323" w:rsidRDefault="00E82DF7" w:rsidP="00E82DF7">
      <w:pPr>
        <w:pStyle w:val="ListParagraph"/>
        <w:numPr>
          <w:ilvl w:val="0"/>
          <w:numId w:val="15"/>
        </w:numPr>
      </w:pPr>
      <w:r>
        <w:t>Arthashastra.</w:t>
      </w:r>
      <w:r w:rsidR="008D5323">
        <w:t xml:space="preserve"> </w:t>
      </w:r>
      <w:r w:rsidR="008D5323" w:rsidRPr="00E82DF7">
        <w:rPr>
          <w:i/>
        </w:rPr>
        <w:t>Duties of a King</w:t>
      </w:r>
      <w:r>
        <w:rPr>
          <w:i/>
        </w:rPr>
        <w:t>.</w:t>
      </w:r>
    </w:p>
    <w:p w14:paraId="220E5D55" w14:textId="181DCE3D" w:rsidR="008D5323" w:rsidRDefault="00E82DF7" w:rsidP="00E82DF7">
      <w:pPr>
        <w:pStyle w:val="ListParagraph"/>
        <w:numPr>
          <w:ilvl w:val="0"/>
          <w:numId w:val="15"/>
        </w:numPr>
      </w:pPr>
      <w:r>
        <w:t>Ashoka.</w:t>
      </w:r>
      <w:r w:rsidR="008D5323">
        <w:t xml:space="preserve"> </w:t>
      </w:r>
      <w:r w:rsidR="008D5323" w:rsidRPr="00E82DF7">
        <w:rPr>
          <w:i/>
        </w:rPr>
        <w:t>Three Edicts</w:t>
      </w:r>
      <w:r>
        <w:t>.</w:t>
      </w:r>
    </w:p>
    <w:p w14:paraId="3247DE8B" w14:textId="73B34B3A" w:rsidR="008D5323" w:rsidRDefault="00E82DF7" w:rsidP="00E82DF7">
      <w:pPr>
        <w:pStyle w:val="ListParagraph"/>
        <w:numPr>
          <w:ilvl w:val="0"/>
          <w:numId w:val="15"/>
        </w:numPr>
      </w:pPr>
      <w:r>
        <w:t>Milinda.</w:t>
      </w:r>
      <w:r w:rsidR="008D5323">
        <w:t xml:space="preserve"> </w:t>
      </w:r>
      <w:r w:rsidR="008D5323" w:rsidRPr="00E82DF7">
        <w:rPr>
          <w:i/>
        </w:rPr>
        <w:t>Questions</w:t>
      </w:r>
      <w:r w:rsidR="00851F74" w:rsidRPr="00E82DF7">
        <w:rPr>
          <w:i/>
        </w:rPr>
        <w:t xml:space="preserve"> </w:t>
      </w:r>
      <w:r>
        <w:t xml:space="preserve">. </w:t>
      </w:r>
    </w:p>
    <w:p w14:paraId="221871EF" w14:textId="55CDDA51" w:rsidR="008D5323" w:rsidRDefault="008D5323" w:rsidP="00E82DF7">
      <w:pPr>
        <w:pStyle w:val="ListParagraph"/>
        <w:numPr>
          <w:ilvl w:val="0"/>
          <w:numId w:val="15"/>
        </w:numPr>
      </w:pPr>
      <w:r>
        <w:t>Stories of the Buddha’s Former Births</w:t>
      </w:r>
      <w:r w:rsidR="00E82DF7">
        <w:t>.</w:t>
      </w:r>
    </w:p>
    <w:p w14:paraId="618482EC" w14:textId="77777777" w:rsidR="008D5323" w:rsidRDefault="008D5323" w:rsidP="00F2589E"/>
    <w:p w14:paraId="3248A7F0" w14:textId="4F5C61B4" w:rsidR="001B232D" w:rsidRDefault="008D5323" w:rsidP="00F2589E">
      <w:r>
        <w:rPr>
          <w:i/>
        </w:rPr>
        <w:t xml:space="preserve">For reference: </w:t>
      </w:r>
      <w:r w:rsidR="00F10E26">
        <w:t xml:space="preserve">Hansen &amp; Curtis, </w:t>
      </w:r>
      <w:r w:rsidR="001B232D">
        <w:t xml:space="preserve">Chapter 2, 50-51 (“Reading the Mummy”); Chapter 3, 74-83 (“The Mauryan Empire” through “The First Sermon of the Buddha”); Chapter 5, </w:t>
      </w:r>
      <w:r w:rsidR="00EF42F9">
        <w:t>121-123 (“Teotihuacan: and “Visual Evidence”); Chapter 6, 166-171 (“Alexander” up to “Parthians”)</w:t>
      </w:r>
      <w:r w:rsidR="00855A2C">
        <w:t>, 176-177 (“Context and Connections”).</w:t>
      </w:r>
    </w:p>
    <w:p w14:paraId="2F2A7B3F" w14:textId="77777777" w:rsidR="001B232D" w:rsidRPr="001B232D" w:rsidRDefault="001B232D" w:rsidP="00F2589E"/>
    <w:p w14:paraId="3A3B9FD0" w14:textId="21FDF611" w:rsidR="00F2589E" w:rsidRPr="00F10E26" w:rsidRDefault="000901A7" w:rsidP="00F2589E">
      <w:pPr>
        <w:rPr>
          <w:b/>
          <w:u w:val="single"/>
        </w:rPr>
      </w:pPr>
      <w:r>
        <w:rPr>
          <w:b/>
          <w:u w:val="single"/>
        </w:rPr>
        <w:t xml:space="preserve">15 </w:t>
      </w:r>
      <w:r w:rsidRPr="00F10E26">
        <w:rPr>
          <w:b/>
          <w:u w:val="single"/>
        </w:rPr>
        <w:t>Feb</w:t>
      </w:r>
      <w:r w:rsidR="00EF42F9" w:rsidRPr="00F10E26">
        <w:rPr>
          <w:b/>
          <w:u w:val="single"/>
        </w:rPr>
        <w:t xml:space="preserve"> (Long-lived empires)</w:t>
      </w:r>
    </w:p>
    <w:p w14:paraId="3E0CE2D7" w14:textId="74EDCB2E" w:rsidR="00D54C52" w:rsidRPr="00D54C52" w:rsidRDefault="000901A7" w:rsidP="007D648E">
      <w:pPr>
        <w:rPr>
          <w:i/>
        </w:rPr>
      </w:pPr>
      <w:r>
        <w:rPr>
          <w:i/>
        </w:rPr>
        <w:t>Please read before 15 Feb</w:t>
      </w:r>
      <w:r w:rsidR="00D54C52">
        <w:rPr>
          <w:i/>
        </w:rPr>
        <w:t>; requir</w:t>
      </w:r>
      <w:r>
        <w:rPr>
          <w:i/>
        </w:rPr>
        <w:t>ed for sections during 15-17 Feb</w:t>
      </w:r>
    </w:p>
    <w:p w14:paraId="393855C6" w14:textId="4E47ED66" w:rsidR="008D5323" w:rsidRDefault="00E82DF7" w:rsidP="00E82DF7">
      <w:pPr>
        <w:pStyle w:val="ListParagraph"/>
        <w:numPr>
          <w:ilvl w:val="0"/>
          <w:numId w:val="16"/>
        </w:numPr>
      </w:pPr>
      <w:r>
        <w:t>Han Fe T</w:t>
      </w:r>
      <w:r w:rsidR="008D5323">
        <w:t>zu</w:t>
      </w:r>
      <w:r>
        <w:t>.</w:t>
      </w:r>
    </w:p>
    <w:p w14:paraId="0B233E0F" w14:textId="064A01D5" w:rsidR="00845E24" w:rsidRPr="00D51AF2" w:rsidRDefault="00E82DF7" w:rsidP="00E82DF7">
      <w:pPr>
        <w:pStyle w:val="ListParagraph"/>
        <w:numPr>
          <w:ilvl w:val="0"/>
          <w:numId w:val="16"/>
        </w:numPr>
      </w:pPr>
      <w:r>
        <w:t>Han Shu.</w:t>
      </w:r>
    </w:p>
    <w:p w14:paraId="2EDBA0B5" w14:textId="46B136D9" w:rsidR="00323CDA" w:rsidRDefault="008D5323" w:rsidP="00E82DF7">
      <w:pPr>
        <w:pStyle w:val="ListParagraph"/>
        <w:numPr>
          <w:ilvl w:val="0"/>
          <w:numId w:val="16"/>
        </w:numPr>
      </w:pPr>
      <w:r>
        <w:t xml:space="preserve">Polybius, </w:t>
      </w:r>
      <w:r w:rsidR="00E82DF7">
        <w:t>“</w:t>
      </w:r>
      <w:r>
        <w:t>On Rome’s Constitution and the Army</w:t>
      </w:r>
      <w:r w:rsidR="00E82DF7">
        <w:t>”</w:t>
      </w:r>
    </w:p>
    <w:p w14:paraId="1841BF32" w14:textId="2287DDED" w:rsidR="00845E24" w:rsidRPr="00E82DF7" w:rsidRDefault="00E82DF7" w:rsidP="00E82DF7">
      <w:pPr>
        <w:pStyle w:val="ListParagraph"/>
        <w:numPr>
          <w:ilvl w:val="0"/>
          <w:numId w:val="16"/>
        </w:numPr>
        <w:rPr>
          <w:i/>
        </w:rPr>
      </w:pPr>
      <w:r w:rsidRPr="00E82DF7">
        <w:rPr>
          <w:i/>
        </w:rPr>
        <w:t>Popul Vuh.</w:t>
      </w:r>
    </w:p>
    <w:p w14:paraId="780AABBC" w14:textId="3FBF316A" w:rsidR="004C7BA4" w:rsidRDefault="00E82DF7" w:rsidP="00E82DF7">
      <w:pPr>
        <w:pStyle w:val="ListParagraph"/>
        <w:numPr>
          <w:ilvl w:val="0"/>
          <w:numId w:val="16"/>
        </w:numPr>
      </w:pPr>
      <w:r>
        <w:t>Sima Qian.</w:t>
      </w:r>
      <w:r w:rsidR="004C7BA4">
        <w:t xml:space="preserve"> “</w:t>
      </w:r>
      <w:hyperlink r:id="rId29" w:history="1">
        <w:r w:rsidR="004C7BA4" w:rsidRPr="004C7BA4">
          <w:rPr>
            <w:rStyle w:val="Hyperlink"/>
          </w:rPr>
          <w:t>The Legalist Policies of the Qin</w:t>
        </w:r>
      </w:hyperlink>
      <w:r>
        <w:rPr>
          <w:rStyle w:val="Hyperlink"/>
        </w:rPr>
        <w:t>.</w:t>
      </w:r>
      <w:r w:rsidR="004C7BA4">
        <w:t>”</w:t>
      </w:r>
      <w:r>
        <w:t xml:space="preserve"> </w:t>
      </w:r>
    </w:p>
    <w:p w14:paraId="07B23C1F" w14:textId="77777777" w:rsidR="008D5323" w:rsidRDefault="008D5323" w:rsidP="007D648E"/>
    <w:p w14:paraId="320CE28E" w14:textId="261D1BEC" w:rsidR="007D648E" w:rsidRDefault="008D5323" w:rsidP="007D648E">
      <w:r>
        <w:rPr>
          <w:i/>
        </w:rPr>
        <w:t xml:space="preserve">For reference: </w:t>
      </w:r>
      <w:r w:rsidR="00F10E26">
        <w:t xml:space="preserve">Hansen &amp; Curtis, </w:t>
      </w:r>
      <w:r w:rsidR="001B232D">
        <w:t>Chapter 4, 98-115 (“Movement of Ideas” to end of chapter)</w:t>
      </w:r>
      <w:r w:rsidR="00EF42F9">
        <w:t>; Chapter 5,</w:t>
      </w:r>
      <w:r w:rsidR="00D51AF2">
        <w:t xml:space="preserve"> 124-127</w:t>
      </w:r>
      <w:r w:rsidR="00EF42F9">
        <w:t xml:space="preserve"> (“T</w:t>
      </w:r>
      <w:r w:rsidR="00D51AF2">
        <w:t>he Maya” up to “War, Politics…</w:t>
      </w:r>
      <w:r w:rsidR="00EF42F9">
        <w:t>”); Chapter 7, 182-186 (“The Conquest” up to “the Late Republic”)</w:t>
      </w:r>
    </w:p>
    <w:p w14:paraId="52BED016" w14:textId="22309107" w:rsidR="007D648E" w:rsidRDefault="007D648E" w:rsidP="007D648E">
      <w:pPr>
        <w:pStyle w:val="Heading2"/>
      </w:pPr>
      <w:r>
        <w:t>Unit 5:</w:t>
      </w:r>
      <w:r>
        <w:tab/>
        <w:t>Imperialism</w:t>
      </w:r>
      <w:r w:rsidR="00CC3399">
        <w:t xml:space="preserve"> II</w:t>
      </w:r>
      <w:r w:rsidR="00D54C52">
        <w:t>: Domination and Consumption</w:t>
      </w:r>
    </w:p>
    <w:p w14:paraId="5E72E6F6" w14:textId="766EECE1" w:rsidR="00F2589E" w:rsidRDefault="00F2589E" w:rsidP="00F2589E">
      <w:pPr>
        <w:rPr>
          <w:b/>
          <w:u w:val="single"/>
        </w:rPr>
      </w:pPr>
      <w:r>
        <w:rPr>
          <w:b/>
          <w:u w:val="single"/>
        </w:rPr>
        <w:t>17 Feb (</w:t>
      </w:r>
      <w:r w:rsidR="00CC3399">
        <w:rPr>
          <w:b/>
          <w:u w:val="single"/>
        </w:rPr>
        <w:t>Conquest</w:t>
      </w:r>
      <w:r>
        <w:rPr>
          <w:b/>
          <w:u w:val="single"/>
        </w:rPr>
        <w:t xml:space="preserve"> &amp; Commodities)</w:t>
      </w:r>
      <w:r w:rsidR="00CC3399">
        <w:rPr>
          <w:b/>
          <w:u w:val="single"/>
        </w:rPr>
        <w:t xml:space="preserve"> </w:t>
      </w:r>
    </w:p>
    <w:p w14:paraId="6EDA2DD4" w14:textId="34122501" w:rsidR="008D5323" w:rsidRPr="00D54C52" w:rsidRDefault="00D54C52" w:rsidP="00F2589E">
      <w:pPr>
        <w:rPr>
          <w:i/>
        </w:rPr>
      </w:pPr>
      <w:r>
        <w:rPr>
          <w:i/>
        </w:rPr>
        <w:t>Please read before lecture 17 Feb; requir</w:t>
      </w:r>
      <w:r w:rsidR="000901A7">
        <w:rPr>
          <w:i/>
        </w:rPr>
        <w:t>ed for sections during 15-17 Feb</w:t>
      </w:r>
    </w:p>
    <w:p w14:paraId="2D9CE687" w14:textId="2DA9584F" w:rsidR="00845E24" w:rsidRDefault="00D77D09" w:rsidP="00D77D09">
      <w:pPr>
        <w:pStyle w:val="ListParagraph"/>
        <w:numPr>
          <w:ilvl w:val="0"/>
          <w:numId w:val="17"/>
        </w:numPr>
      </w:pPr>
      <w:r>
        <w:t>The Debate on Salt and Iron.</w:t>
      </w:r>
    </w:p>
    <w:p w14:paraId="1F014B96" w14:textId="0EE7DE69" w:rsidR="00845E24" w:rsidRDefault="00D77D09" w:rsidP="00D77D09">
      <w:pPr>
        <w:pStyle w:val="ListParagraph"/>
        <w:numPr>
          <w:ilvl w:val="0"/>
          <w:numId w:val="17"/>
        </w:numPr>
      </w:pPr>
      <w:r>
        <w:t>Megasthenes.</w:t>
      </w:r>
      <w:r w:rsidR="00845E24">
        <w:t xml:space="preserve"> </w:t>
      </w:r>
      <w:r w:rsidR="00845E24" w:rsidRPr="00D77D09">
        <w:rPr>
          <w:i/>
        </w:rPr>
        <w:t>Indika</w:t>
      </w:r>
      <w:r>
        <w:t>.</w:t>
      </w:r>
    </w:p>
    <w:p w14:paraId="0286C62E" w14:textId="31ACC905" w:rsidR="00D54C52" w:rsidRDefault="00F46DC4" w:rsidP="00D77D09">
      <w:pPr>
        <w:pStyle w:val="ListParagraph"/>
        <w:numPr>
          <w:ilvl w:val="0"/>
          <w:numId w:val="17"/>
        </w:numPr>
      </w:pPr>
      <w:r w:rsidRPr="00D77D09">
        <w:rPr>
          <w:i/>
        </w:rPr>
        <w:t>Periplus of the Erythraean Sea</w:t>
      </w:r>
      <w:r w:rsidR="00D77D09">
        <w:t>.</w:t>
      </w:r>
    </w:p>
    <w:p w14:paraId="41DB9DB8" w14:textId="235A238F" w:rsidR="00D975C4" w:rsidRPr="00D975C4" w:rsidRDefault="00D77D09" w:rsidP="00D77D09">
      <w:pPr>
        <w:pStyle w:val="ListParagraph"/>
        <w:numPr>
          <w:ilvl w:val="0"/>
          <w:numId w:val="17"/>
        </w:numPr>
      </w:pPr>
      <w:r>
        <w:t>Plutarch.</w:t>
      </w:r>
      <w:r w:rsidR="00D975C4">
        <w:t xml:space="preserve"> </w:t>
      </w:r>
      <w:r w:rsidR="00D975C4" w:rsidRPr="00D77D09">
        <w:rPr>
          <w:i/>
        </w:rPr>
        <w:t>Life of Cato the Elder</w:t>
      </w:r>
      <w:r>
        <w:t>.</w:t>
      </w:r>
    </w:p>
    <w:p w14:paraId="5D27068E" w14:textId="77777777" w:rsidR="00F46DC4" w:rsidRDefault="00F46DC4" w:rsidP="00F2589E"/>
    <w:p w14:paraId="076D76C1" w14:textId="7B80315A" w:rsidR="00D54C52" w:rsidRPr="00855A2C" w:rsidRDefault="00D54C52" w:rsidP="00F2589E">
      <w:r>
        <w:rPr>
          <w:i/>
        </w:rPr>
        <w:t>For reference</w:t>
      </w:r>
      <w:r w:rsidR="00855A2C">
        <w:t xml:space="preserve">: </w:t>
      </w:r>
      <w:r w:rsidR="00454F79">
        <w:t>Hansen</w:t>
      </w:r>
      <w:r w:rsidR="00855A2C">
        <w:t xml:space="preserve"> &amp; Curtis – Chapter 5, 136-139 (“Polynesian Seafaring” up to “Easter Island”; Chapter 7, 186</w:t>
      </w:r>
      <w:r w:rsidR="00FE1680">
        <w:t>-187 (“The Late Republic”)</w:t>
      </w:r>
    </w:p>
    <w:p w14:paraId="41BFED17" w14:textId="77777777" w:rsidR="00D54C52" w:rsidRPr="008D5323" w:rsidRDefault="00D54C52" w:rsidP="00F2589E"/>
    <w:p w14:paraId="7BB68179" w14:textId="211CE453" w:rsidR="00F2589E" w:rsidRPr="00F2589E" w:rsidRDefault="00F2589E" w:rsidP="00F2589E">
      <w:r>
        <w:rPr>
          <w:b/>
          <w:u w:val="single"/>
        </w:rPr>
        <w:t>22 Feb (</w:t>
      </w:r>
      <w:r w:rsidR="00CC3399">
        <w:rPr>
          <w:b/>
          <w:u w:val="single"/>
        </w:rPr>
        <w:t>Conquest</w:t>
      </w:r>
      <w:r>
        <w:rPr>
          <w:b/>
          <w:u w:val="single"/>
        </w:rPr>
        <w:t xml:space="preserve"> &amp; Freedom)</w:t>
      </w:r>
      <w:r w:rsidR="00F10E26">
        <w:rPr>
          <w:b/>
          <w:u w:val="single"/>
        </w:rPr>
        <w:t xml:space="preserve"> </w:t>
      </w:r>
    </w:p>
    <w:p w14:paraId="00849A3F" w14:textId="4E17ACE2" w:rsidR="00D54C52" w:rsidRPr="00D54C52" w:rsidRDefault="00D54C52" w:rsidP="00222C31">
      <w:pPr>
        <w:rPr>
          <w:i/>
        </w:rPr>
      </w:pPr>
      <w:r>
        <w:rPr>
          <w:i/>
        </w:rPr>
        <w:t>Please read before lecture 22 Feb; required for sections 22-24 Feb</w:t>
      </w:r>
    </w:p>
    <w:p w14:paraId="73DE972C" w14:textId="52524D7C" w:rsidR="00845E24" w:rsidRDefault="00D77D09" w:rsidP="00D77D09">
      <w:pPr>
        <w:pStyle w:val="ListParagraph"/>
        <w:numPr>
          <w:ilvl w:val="0"/>
          <w:numId w:val="18"/>
        </w:numPr>
      </w:pPr>
      <w:r>
        <w:t>Cato the Elder.</w:t>
      </w:r>
      <w:r w:rsidR="00845E24">
        <w:t xml:space="preserve"> </w:t>
      </w:r>
      <w:r w:rsidR="00845E24" w:rsidRPr="00D77D09">
        <w:rPr>
          <w:i/>
        </w:rPr>
        <w:t>On Agriculture</w:t>
      </w:r>
      <w:r>
        <w:t>.</w:t>
      </w:r>
    </w:p>
    <w:p w14:paraId="7F0BF917" w14:textId="7D201805" w:rsidR="008D5323" w:rsidRDefault="008D5323" w:rsidP="00D77D09">
      <w:pPr>
        <w:pStyle w:val="ListParagraph"/>
        <w:numPr>
          <w:ilvl w:val="0"/>
          <w:numId w:val="18"/>
        </w:numPr>
      </w:pPr>
      <w:r>
        <w:t>Cicero</w:t>
      </w:r>
      <w:r w:rsidR="00D77D09">
        <w:t>.</w:t>
      </w:r>
      <w:r>
        <w:t xml:space="preserve"> </w:t>
      </w:r>
      <w:r w:rsidRPr="00D77D09">
        <w:rPr>
          <w:i/>
        </w:rPr>
        <w:t xml:space="preserve">Against </w:t>
      </w:r>
      <w:r>
        <w:t>Verres</w:t>
      </w:r>
    </w:p>
    <w:p w14:paraId="78632D43" w14:textId="52F2987E" w:rsidR="00F46DC4" w:rsidRDefault="00F46DC4" w:rsidP="00D77D09">
      <w:pPr>
        <w:pStyle w:val="ListParagraph"/>
        <w:numPr>
          <w:ilvl w:val="0"/>
          <w:numId w:val="18"/>
        </w:numPr>
      </w:pPr>
      <w:r>
        <w:t>The Legend of Meng Jiangnu</w:t>
      </w:r>
      <w:r w:rsidR="00D77D09">
        <w:t>.</w:t>
      </w:r>
    </w:p>
    <w:p w14:paraId="51890F9D" w14:textId="697E14A7" w:rsidR="00845E24" w:rsidRDefault="00845E24" w:rsidP="00D77D09">
      <w:pPr>
        <w:pStyle w:val="ListParagraph"/>
        <w:numPr>
          <w:ilvl w:val="0"/>
          <w:numId w:val="18"/>
        </w:numPr>
      </w:pPr>
      <w:r>
        <w:t>Livy</w:t>
      </w:r>
      <w:r w:rsidR="00D77D09">
        <w:t>.</w:t>
      </w:r>
      <w:r>
        <w:t xml:space="preserve"> </w:t>
      </w:r>
      <w:r w:rsidRPr="00D77D09">
        <w:rPr>
          <w:i/>
        </w:rPr>
        <w:t>Ab urbe condita</w:t>
      </w:r>
      <w:r w:rsidR="00D77D09">
        <w:t>.</w:t>
      </w:r>
    </w:p>
    <w:p w14:paraId="3958DD20" w14:textId="13C4A8D9" w:rsidR="006B693C" w:rsidRDefault="006B693C" w:rsidP="00D77D09">
      <w:pPr>
        <w:pStyle w:val="ListParagraph"/>
        <w:numPr>
          <w:ilvl w:val="0"/>
          <w:numId w:val="18"/>
        </w:numPr>
      </w:pPr>
      <w:r w:rsidRPr="00D77D09">
        <w:rPr>
          <w:i/>
        </w:rPr>
        <w:t>P. Paris</w:t>
      </w:r>
      <w:r>
        <w:t>, 10, 1</w:t>
      </w:r>
    </w:p>
    <w:p w14:paraId="75B87A57" w14:textId="0D733BAC" w:rsidR="006B693C" w:rsidRPr="006B693C" w:rsidRDefault="006B693C" w:rsidP="00D77D09">
      <w:pPr>
        <w:pStyle w:val="ListParagraph"/>
        <w:numPr>
          <w:ilvl w:val="0"/>
          <w:numId w:val="18"/>
        </w:numPr>
      </w:pPr>
      <w:r>
        <w:t>Plutarch</w:t>
      </w:r>
      <w:r w:rsidR="00D77D09">
        <w:t>.</w:t>
      </w:r>
      <w:r>
        <w:t xml:space="preserve"> </w:t>
      </w:r>
      <w:r w:rsidRPr="00D77D09">
        <w:rPr>
          <w:i/>
        </w:rPr>
        <w:t>Life of Crassus</w:t>
      </w:r>
      <w:r w:rsidR="00D77D09">
        <w:t>.</w:t>
      </w:r>
    </w:p>
    <w:p w14:paraId="1170143A" w14:textId="77777777" w:rsidR="006B693C" w:rsidRPr="006B693C" w:rsidRDefault="006B693C" w:rsidP="00222C31"/>
    <w:p w14:paraId="7D41CA49" w14:textId="45C4E4EE" w:rsidR="007D648E" w:rsidRPr="00FE1680" w:rsidRDefault="000901A7" w:rsidP="007D648E">
      <w:r>
        <w:rPr>
          <w:i/>
        </w:rPr>
        <w:t>For reference</w:t>
      </w:r>
      <w:r w:rsidR="00FE1680">
        <w:t xml:space="preserve">: </w:t>
      </w:r>
      <w:r w:rsidR="00F10E26">
        <w:t xml:space="preserve">Hansen &amp; Curtis, </w:t>
      </w:r>
      <w:r w:rsidR="00FE1680">
        <w:t>Chapter 7, 187-188 (“The Roman Principate” up to “The Political Structure”)</w:t>
      </w:r>
    </w:p>
    <w:p w14:paraId="368FE63F" w14:textId="77777777" w:rsidR="00F46DC4" w:rsidRDefault="00F46DC4" w:rsidP="007D648E">
      <w:pPr>
        <w:rPr>
          <w:rFonts w:asciiTheme="majorHAnsi" w:eastAsiaTheme="majorEastAsia" w:hAnsiTheme="majorHAnsi" w:cstheme="majorBidi"/>
          <w:color w:val="4F81BD" w:themeColor="accent1"/>
          <w:sz w:val="26"/>
          <w:szCs w:val="26"/>
        </w:rPr>
      </w:pPr>
    </w:p>
    <w:p w14:paraId="1DAC7E57" w14:textId="6C7004BD" w:rsidR="007D648E" w:rsidRPr="00F2589E" w:rsidRDefault="00F2589E" w:rsidP="007D648E">
      <w:pPr>
        <w:rPr>
          <w:b/>
          <w:u w:val="single"/>
        </w:rPr>
      </w:pPr>
      <w:r>
        <w:rPr>
          <w:b/>
          <w:u w:val="single"/>
        </w:rPr>
        <w:t>24 Feb (</w:t>
      </w:r>
      <w:r w:rsidR="00CC3399">
        <w:rPr>
          <w:b/>
          <w:u w:val="single"/>
        </w:rPr>
        <w:t>Gender and Structures of Power</w:t>
      </w:r>
      <w:r>
        <w:rPr>
          <w:b/>
          <w:u w:val="single"/>
        </w:rPr>
        <w:t>)</w:t>
      </w:r>
    </w:p>
    <w:p w14:paraId="6545FEFA" w14:textId="4953B66E" w:rsidR="000901A7" w:rsidRPr="000901A7" w:rsidRDefault="000901A7" w:rsidP="007D648E">
      <w:pPr>
        <w:rPr>
          <w:i/>
        </w:rPr>
      </w:pPr>
      <w:r>
        <w:rPr>
          <w:i/>
        </w:rPr>
        <w:t>Please read before lecture 24 Feb; required for sections 22-24 Feb</w:t>
      </w:r>
    </w:p>
    <w:p w14:paraId="3729B5BE" w14:textId="57B2CECC" w:rsidR="00845E24" w:rsidRPr="00B346F8" w:rsidRDefault="00845E24" w:rsidP="00D77D09">
      <w:pPr>
        <w:pStyle w:val="ListParagraph"/>
        <w:numPr>
          <w:ilvl w:val="0"/>
          <w:numId w:val="19"/>
        </w:numPr>
      </w:pPr>
      <w:r w:rsidRPr="00D77D09">
        <w:rPr>
          <w:i/>
        </w:rPr>
        <w:t>Laws of Manu</w:t>
      </w:r>
      <w:r w:rsidR="00D77D09">
        <w:t>.</w:t>
      </w:r>
    </w:p>
    <w:p w14:paraId="48F87EA8" w14:textId="7E23E6BE" w:rsidR="00845E24" w:rsidRDefault="00845E24" w:rsidP="00D77D09">
      <w:pPr>
        <w:pStyle w:val="ListParagraph"/>
        <w:numPr>
          <w:ilvl w:val="0"/>
          <w:numId w:val="19"/>
        </w:numPr>
      </w:pPr>
      <w:r>
        <w:t xml:space="preserve">Livy, </w:t>
      </w:r>
      <w:r w:rsidR="00D77D09">
        <w:rPr>
          <w:i/>
        </w:rPr>
        <w:t>Ab urbe condita.</w:t>
      </w:r>
    </w:p>
    <w:p w14:paraId="150A6CF2" w14:textId="3DADDC8F" w:rsidR="00845E24" w:rsidRDefault="00D77D09" w:rsidP="00D77D09">
      <w:pPr>
        <w:pStyle w:val="ListParagraph"/>
        <w:numPr>
          <w:ilvl w:val="0"/>
          <w:numId w:val="19"/>
        </w:numPr>
      </w:pPr>
      <w:r>
        <w:t>Pan Chao. “Lessons for Women.”</w:t>
      </w:r>
    </w:p>
    <w:p w14:paraId="0F236AD8" w14:textId="07C4E4DF" w:rsidR="00845E24" w:rsidRDefault="00D77D09" w:rsidP="00D77D09">
      <w:pPr>
        <w:pStyle w:val="ListParagraph"/>
        <w:numPr>
          <w:ilvl w:val="0"/>
          <w:numId w:val="19"/>
        </w:numPr>
      </w:pPr>
      <w:r>
        <w:t xml:space="preserve">Paul. “On Wearing the Veil.” </w:t>
      </w:r>
    </w:p>
    <w:p w14:paraId="3E69D1BA" w14:textId="64B57D4A" w:rsidR="00845E24" w:rsidRDefault="00D77D09" w:rsidP="00D77D09">
      <w:pPr>
        <w:pStyle w:val="ListParagraph"/>
        <w:numPr>
          <w:ilvl w:val="0"/>
          <w:numId w:val="19"/>
        </w:numPr>
      </w:pPr>
      <w:r>
        <w:t>Songs by Buddhist nuns.</w:t>
      </w:r>
    </w:p>
    <w:p w14:paraId="17E66107" w14:textId="10A93F0B" w:rsidR="00B346F8" w:rsidRPr="00B346F8" w:rsidRDefault="00D77D09" w:rsidP="00D77D09">
      <w:pPr>
        <w:pStyle w:val="ListParagraph"/>
        <w:numPr>
          <w:ilvl w:val="0"/>
          <w:numId w:val="19"/>
        </w:numPr>
      </w:pPr>
      <w:r>
        <w:t>Tacitus.</w:t>
      </w:r>
      <w:r w:rsidR="00B346F8">
        <w:t xml:space="preserve"> </w:t>
      </w:r>
      <w:r w:rsidR="00B346F8" w:rsidRPr="00D77D09">
        <w:rPr>
          <w:i/>
        </w:rPr>
        <w:t>Annals</w:t>
      </w:r>
      <w:r>
        <w:t xml:space="preserve"> on Livia.</w:t>
      </w:r>
    </w:p>
    <w:p w14:paraId="700E8A37" w14:textId="77777777" w:rsidR="007D648E" w:rsidRDefault="007D648E" w:rsidP="007D648E"/>
    <w:p w14:paraId="78D960EE" w14:textId="2D8F6125" w:rsidR="007D648E" w:rsidRPr="00FE1680" w:rsidRDefault="000901A7" w:rsidP="007D648E">
      <w:r>
        <w:rPr>
          <w:i/>
        </w:rPr>
        <w:t>For reference</w:t>
      </w:r>
      <w:r w:rsidR="00FE1680">
        <w:t xml:space="preserve">: </w:t>
      </w:r>
      <w:r w:rsidR="00F10E26">
        <w:t xml:space="preserve">Hansen &amp; Curtis, </w:t>
      </w:r>
      <w:r w:rsidR="00FE1680">
        <w:t>Chapter 7, 188-192 (“The Political Structure” up to “Travel &amp; Knowledge”)</w:t>
      </w:r>
    </w:p>
    <w:p w14:paraId="258635E4" w14:textId="50698813" w:rsidR="007D648E" w:rsidRDefault="00F85448" w:rsidP="007D648E">
      <w:pPr>
        <w:pStyle w:val="Heading2"/>
      </w:pPr>
      <w:r>
        <w:t>Unit 6</w:t>
      </w:r>
      <w:r w:rsidR="007D648E">
        <w:t>:</w:t>
      </w:r>
      <w:r w:rsidR="007D648E">
        <w:tab/>
      </w:r>
      <w:r w:rsidR="00F46DC4">
        <w:t>Afro-Eurasian</w:t>
      </w:r>
      <w:r w:rsidR="007D648E">
        <w:t xml:space="preserve"> Trade and </w:t>
      </w:r>
      <w:r w:rsidR="00F46DC4">
        <w:t>Afro-Eurasian</w:t>
      </w:r>
      <w:r w:rsidR="007D648E">
        <w:t xml:space="preserve"> Faith (180 CE)</w:t>
      </w:r>
    </w:p>
    <w:p w14:paraId="43AE2BE6" w14:textId="51F42F74" w:rsidR="00F2589E" w:rsidRDefault="00F2589E" w:rsidP="00F2589E">
      <w:pPr>
        <w:rPr>
          <w:b/>
          <w:u w:val="single"/>
        </w:rPr>
      </w:pPr>
      <w:r>
        <w:rPr>
          <w:b/>
          <w:u w:val="single"/>
        </w:rPr>
        <w:t>1 Mar</w:t>
      </w:r>
      <w:r w:rsidR="00F10E26">
        <w:rPr>
          <w:b/>
          <w:u w:val="single"/>
        </w:rPr>
        <w:t xml:space="preserve"> (Trade along the ‘Silk Roads’)</w:t>
      </w:r>
    </w:p>
    <w:p w14:paraId="0BD6DEB7" w14:textId="61C67417" w:rsidR="00F2589E" w:rsidRPr="000901A7" w:rsidRDefault="000901A7" w:rsidP="00F2589E">
      <w:pPr>
        <w:rPr>
          <w:i/>
        </w:rPr>
      </w:pPr>
      <w:r>
        <w:rPr>
          <w:i/>
        </w:rPr>
        <w:t>Please read before lecture 1 Mar; required for sections during 1-3 March</w:t>
      </w:r>
    </w:p>
    <w:p w14:paraId="5D542C15" w14:textId="3E7EBC1D" w:rsidR="00845E24" w:rsidRDefault="00D77D09" w:rsidP="00D77D09">
      <w:pPr>
        <w:pStyle w:val="ListParagraph"/>
        <w:numPr>
          <w:ilvl w:val="0"/>
          <w:numId w:val="20"/>
        </w:numPr>
      </w:pPr>
      <w:r>
        <w:t>Aelius Aristides.</w:t>
      </w:r>
      <w:r w:rsidR="00845E24">
        <w:t xml:space="preserve"> </w:t>
      </w:r>
      <w:hyperlink r:id="rId30" w:history="1">
        <w:r w:rsidR="00845E24" w:rsidRPr="002E5CAB">
          <w:rPr>
            <w:rStyle w:val="Hyperlink"/>
          </w:rPr>
          <w:t>To Rome</w:t>
        </w:r>
      </w:hyperlink>
    </w:p>
    <w:p w14:paraId="6FEF7F68" w14:textId="176DEDF6" w:rsidR="00845E24" w:rsidRPr="00F46DC4" w:rsidRDefault="00845E24" w:rsidP="00D77D09">
      <w:pPr>
        <w:pStyle w:val="ListParagraph"/>
        <w:numPr>
          <w:ilvl w:val="0"/>
          <w:numId w:val="20"/>
        </w:numPr>
      </w:pPr>
      <w:r>
        <w:t>Juvenal</w:t>
      </w:r>
      <w:r w:rsidR="00D77D09">
        <w:t>.</w:t>
      </w:r>
      <w:r>
        <w:t xml:space="preserve"> </w:t>
      </w:r>
      <w:r w:rsidRPr="00D77D09">
        <w:rPr>
          <w:i/>
        </w:rPr>
        <w:t xml:space="preserve">Third </w:t>
      </w:r>
      <w:r w:rsidR="00D77D09">
        <w:rPr>
          <w:i/>
        </w:rPr>
        <w:t>S</w:t>
      </w:r>
      <w:r w:rsidRPr="00D77D09">
        <w:rPr>
          <w:i/>
        </w:rPr>
        <w:t>atire</w:t>
      </w:r>
      <w:r w:rsidR="00D77D09">
        <w:t>.</w:t>
      </w:r>
    </w:p>
    <w:p w14:paraId="7CB6A5FE" w14:textId="79CE5B84" w:rsidR="00845E24" w:rsidRDefault="00D77D09" w:rsidP="00D77D09">
      <w:pPr>
        <w:pStyle w:val="ListParagraph"/>
        <w:numPr>
          <w:ilvl w:val="0"/>
          <w:numId w:val="20"/>
        </w:numPr>
      </w:pPr>
      <w:r>
        <w:t>Letters from the Silk R</w:t>
      </w:r>
      <w:r w:rsidR="00845E24">
        <w:t>oads</w:t>
      </w:r>
      <w:r>
        <w:t>.</w:t>
      </w:r>
    </w:p>
    <w:p w14:paraId="7866FE34" w14:textId="6CECBD3D" w:rsidR="000901A7" w:rsidRDefault="00D77D09" w:rsidP="00D77D09">
      <w:pPr>
        <w:pStyle w:val="ListParagraph"/>
        <w:numPr>
          <w:ilvl w:val="0"/>
          <w:numId w:val="20"/>
        </w:numPr>
      </w:pPr>
      <w:r>
        <w:t>Pliny the Elder.</w:t>
      </w:r>
      <w:r w:rsidR="00F46DC4">
        <w:t xml:space="preserve"> </w:t>
      </w:r>
      <w:r>
        <w:t>“</w:t>
      </w:r>
      <w:r w:rsidR="00F46DC4">
        <w:t>The Seres</w:t>
      </w:r>
      <w:r>
        <w:t>.”</w:t>
      </w:r>
    </w:p>
    <w:p w14:paraId="0FF083EE" w14:textId="11E73575" w:rsidR="00845E24" w:rsidRDefault="00D77D09" w:rsidP="00D77D09">
      <w:pPr>
        <w:pStyle w:val="ListParagraph"/>
        <w:numPr>
          <w:ilvl w:val="0"/>
          <w:numId w:val="20"/>
        </w:numPr>
      </w:pPr>
      <w:r>
        <w:t>Regulations for a C</w:t>
      </w:r>
      <w:r w:rsidR="00845E24">
        <w:t xml:space="preserve">ommunity of </w:t>
      </w:r>
      <w:r>
        <w:t>Monks.</w:t>
      </w:r>
    </w:p>
    <w:p w14:paraId="0F4D9A98" w14:textId="41930D13" w:rsidR="002C53D4" w:rsidRDefault="002C53D4" w:rsidP="00D77D09">
      <w:pPr>
        <w:pStyle w:val="ListParagraph"/>
        <w:numPr>
          <w:ilvl w:val="0"/>
          <w:numId w:val="20"/>
        </w:numPr>
      </w:pPr>
      <w:r>
        <w:t>Vindolanda Tablets</w:t>
      </w:r>
      <w:r w:rsidR="00D77D09">
        <w:t>.</w:t>
      </w:r>
    </w:p>
    <w:p w14:paraId="448B5C45" w14:textId="77777777" w:rsidR="00F46DC4" w:rsidRDefault="00F46DC4" w:rsidP="00F2589E">
      <w:pPr>
        <w:rPr>
          <w:b/>
          <w:u w:val="single"/>
        </w:rPr>
      </w:pPr>
    </w:p>
    <w:p w14:paraId="22330AE0" w14:textId="708E8462" w:rsidR="000901A7" w:rsidRPr="00855A2C" w:rsidRDefault="000901A7" w:rsidP="00F2589E">
      <w:r>
        <w:rPr>
          <w:i/>
        </w:rPr>
        <w:t>For reference:</w:t>
      </w:r>
      <w:r w:rsidR="00855A2C">
        <w:t xml:space="preserve"> </w:t>
      </w:r>
      <w:r w:rsidR="00F10E26">
        <w:t xml:space="preserve">Hansen &amp; Curtis, </w:t>
      </w:r>
      <w:r w:rsidR="00855A2C">
        <w:t>Chapter 6, 172-175 (“The Parthians and the Sassanians”)</w:t>
      </w:r>
      <w:r w:rsidR="00FE1680">
        <w:t>; Chapter 7, 192-194 (“Travel &amp; Knowledge”)</w:t>
      </w:r>
      <w:r w:rsidR="00A3168B">
        <w:t>; Chapter 8, 219-221 (“Buddhism, Hinduism…” up to “Kingdoms of Inland SE Asia”)</w:t>
      </w:r>
    </w:p>
    <w:p w14:paraId="5B9F5BCB" w14:textId="77777777" w:rsidR="000901A7" w:rsidRDefault="000901A7" w:rsidP="00F2589E">
      <w:pPr>
        <w:rPr>
          <w:b/>
          <w:u w:val="single"/>
        </w:rPr>
      </w:pPr>
    </w:p>
    <w:p w14:paraId="7C833EFA" w14:textId="4A98855C" w:rsidR="00F2589E" w:rsidRDefault="00F2589E" w:rsidP="00F2589E">
      <w:pPr>
        <w:rPr>
          <w:b/>
          <w:u w:val="single"/>
        </w:rPr>
      </w:pPr>
      <w:r>
        <w:rPr>
          <w:b/>
          <w:u w:val="single"/>
        </w:rPr>
        <w:t>3 Mar</w:t>
      </w:r>
      <w:r w:rsidR="00F10E26">
        <w:rPr>
          <w:b/>
          <w:u w:val="single"/>
        </w:rPr>
        <w:t xml:space="preserve"> (Faith along the ‘Silk Roads’)</w:t>
      </w:r>
    </w:p>
    <w:p w14:paraId="28CE35C9" w14:textId="7851EBC1" w:rsidR="007D648E" w:rsidRDefault="000901A7" w:rsidP="007D648E">
      <w:pPr>
        <w:rPr>
          <w:i/>
        </w:rPr>
      </w:pPr>
      <w:r>
        <w:rPr>
          <w:i/>
        </w:rPr>
        <w:t>Please read before lecture 3 Mar; required for section 1-3 March</w:t>
      </w:r>
    </w:p>
    <w:p w14:paraId="6343BAEF" w14:textId="6813DBF1" w:rsidR="00845E24" w:rsidRPr="00D77D09" w:rsidRDefault="00D77D09" w:rsidP="00D77D09">
      <w:pPr>
        <w:pStyle w:val="ListParagraph"/>
        <w:numPr>
          <w:ilvl w:val="0"/>
          <w:numId w:val="21"/>
        </w:numPr>
        <w:rPr>
          <w:i/>
        </w:rPr>
      </w:pPr>
      <w:r>
        <w:t xml:space="preserve">Apuleius. </w:t>
      </w:r>
      <w:r w:rsidRPr="00D77D09">
        <w:rPr>
          <w:i/>
        </w:rPr>
        <w:t>Golden Ass</w:t>
      </w:r>
      <w:r>
        <w:rPr>
          <w:i/>
        </w:rPr>
        <w:t>.</w:t>
      </w:r>
    </w:p>
    <w:p w14:paraId="27F22C69" w14:textId="097E91D8" w:rsidR="002C53D4" w:rsidRDefault="002C53D4" w:rsidP="00D77D09">
      <w:pPr>
        <w:pStyle w:val="ListParagraph"/>
        <w:numPr>
          <w:ilvl w:val="0"/>
          <w:numId w:val="21"/>
        </w:numPr>
      </w:pPr>
      <w:r>
        <w:t>Gospel of Mark</w:t>
      </w:r>
      <w:r w:rsidR="00D77D09">
        <w:t>.</w:t>
      </w:r>
    </w:p>
    <w:p w14:paraId="26BFD5E3" w14:textId="3F551DA8" w:rsidR="00845E24" w:rsidRDefault="00845E24" w:rsidP="00D77D09">
      <w:pPr>
        <w:pStyle w:val="ListParagraph"/>
        <w:numPr>
          <w:ilvl w:val="0"/>
          <w:numId w:val="21"/>
        </w:numPr>
      </w:pPr>
      <w:r>
        <w:t>Tam</w:t>
      </w:r>
      <w:r w:rsidR="00D77D09">
        <w:t>ing Frontier Deities in China.</w:t>
      </w:r>
    </w:p>
    <w:p w14:paraId="2AFF7BE9" w14:textId="77777777" w:rsidR="002C53D4" w:rsidRDefault="002C53D4" w:rsidP="007D648E">
      <w:pPr>
        <w:rPr>
          <w:i/>
        </w:rPr>
      </w:pPr>
    </w:p>
    <w:p w14:paraId="78F8A1EF" w14:textId="2679896E" w:rsidR="000901A7" w:rsidRPr="00FE1680" w:rsidRDefault="000901A7" w:rsidP="007D648E">
      <w:pPr>
        <w:rPr>
          <w:rFonts w:asciiTheme="majorHAnsi" w:eastAsiaTheme="majorEastAsia" w:hAnsiTheme="majorHAnsi" w:cstheme="majorBidi"/>
          <w:color w:val="4F81BD" w:themeColor="accent1"/>
          <w:sz w:val="26"/>
          <w:szCs w:val="26"/>
        </w:rPr>
      </w:pPr>
      <w:r>
        <w:rPr>
          <w:i/>
        </w:rPr>
        <w:t>For reference</w:t>
      </w:r>
      <w:r w:rsidR="00FE1680">
        <w:t xml:space="preserve">: </w:t>
      </w:r>
      <w:r w:rsidR="00F10E26">
        <w:t xml:space="preserve">Hansen &amp; Curtis, </w:t>
      </w:r>
      <w:r w:rsidR="00FE1680">
        <w:t>Chapter 7, 194-200 (“The Rise of Christianity” up to “The Loss of the Western”)</w:t>
      </w:r>
      <w:r w:rsidR="00A3168B">
        <w:t>; Chapter 8, 215-217 (“Buddhism, Hinduism…” – up to “The Beginnings of the Chola…”), 225- 227 (“Buddhism and the Revival…” up to “China Reunified”), 228-229 (“Teaching Buddhism”)</w:t>
      </w:r>
    </w:p>
    <w:p w14:paraId="09F21E37" w14:textId="48FFB786" w:rsidR="007D648E" w:rsidRDefault="00F85448" w:rsidP="007D648E">
      <w:pPr>
        <w:pStyle w:val="Heading2"/>
      </w:pPr>
      <w:r>
        <w:t>Unit 7</w:t>
      </w:r>
      <w:r w:rsidR="007D648E">
        <w:t>:</w:t>
      </w:r>
      <w:r w:rsidR="007D648E">
        <w:tab/>
        <w:t>The “Fall of Rome”: Christianity and Barbarism? (453 CE)</w:t>
      </w:r>
    </w:p>
    <w:p w14:paraId="287DCE51" w14:textId="34365753" w:rsidR="007D648E" w:rsidRPr="00F10E26" w:rsidRDefault="00F2589E" w:rsidP="007D648E">
      <w:pPr>
        <w:rPr>
          <w:b/>
          <w:u w:val="single"/>
        </w:rPr>
      </w:pPr>
      <w:r>
        <w:rPr>
          <w:b/>
          <w:u w:val="single"/>
        </w:rPr>
        <w:t>8 Mar</w:t>
      </w:r>
      <w:r w:rsidR="00F10E26">
        <w:rPr>
          <w:u w:val="single"/>
        </w:rPr>
        <w:t xml:space="preserve"> (</w:t>
      </w:r>
      <w:r w:rsidR="00436CB1" w:rsidRPr="00F10E26">
        <w:rPr>
          <w:b/>
          <w:u w:val="single"/>
        </w:rPr>
        <w:t>The Fall of Rome and why it matters</w:t>
      </w:r>
      <w:r w:rsidR="00F10E26">
        <w:rPr>
          <w:b/>
          <w:u w:val="single"/>
        </w:rPr>
        <w:t>)</w:t>
      </w:r>
    </w:p>
    <w:p w14:paraId="616B559C" w14:textId="31C5486E" w:rsidR="00F2589E" w:rsidRDefault="000901A7" w:rsidP="007D648E">
      <w:pPr>
        <w:rPr>
          <w:i/>
        </w:rPr>
      </w:pPr>
      <w:r>
        <w:rPr>
          <w:i/>
        </w:rPr>
        <w:t>Please read before section 8 Mar; required for section during 8-10 Mar</w:t>
      </w:r>
    </w:p>
    <w:p w14:paraId="3A3DDC61" w14:textId="55619BED" w:rsidR="00845E24" w:rsidRDefault="00845E24" w:rsidP="00D77D09">
      <w:pPr>
        <w:pStyle w:val="ListParagraph"/>
        <w:numPr>
          <w:ilvl w:val="0"/>
          <w:numId w:val="22"/>
        </w:numPr>
      </w:pPr>
      <w:r>
        <w:t>Einhard</w:t>
      </w:r>
      <w:r w:rsidR="00D77D09">
        <w:t xml:space="preserve">. </w:t>
      </w:r>
      <w:r w:rsidR="00D77D09">
        <w:rPr>
          <w:i/>
        </w:rPr>
        <w:t>Life of Charlemagne.</w:t>
      </w:r>
    </w:p>
    <w:p w14:paraId="700FC391" w14:textId="18D0330F" w:rsidR="00845E24" w:rsidRDefault="00845E24" w:rsidP="00D77D09">
      <w:pPr>
        <w:pStyle w:val="ListParagraph"/>
        <w:numPr>
          <w:ilvl w:val="0"/>
          <w:numId w:val="22"/>
        </w:numPr>
      </w:pPr>
      <w:r>
        <w:t>Gregory of Tours</w:t>
      </w:r>
      <w:r w:rsidR="00D77D09">
        <w:t>.</w:t>
      </w:r>
      <w:r>
        <w:t xml:space="preserve"> </w:t>
      </w:r>
      <w:r w:rsidR="00D77D09">
        <w:t>“</w:t>
      </w:r>
      <w:r>
        <w:t>Conversion of Clovis</w:t>
      </w:r>
      <w:r w:rsidR="00D77D09">
        <w:t>.”</w:t>
      </w:r>
    </w:p>
    <w:p w14:paraId="6742D548" w14:textId="12258644" w:rsidR="00436CB1" w:rsidRDefault="00D77D09" w:rsidP="00D77D09">
      <w:pPr>
        <w:pStyle w:val="ListParagraph"/>
        <w:numPr>
          <w:ilvl w:val="0"/>
          <w:numId w:val="22"/>
        </w:numPr>
      </w:pPr>
      <w:r>
        <w:t>Priscus.</w:t>
      </w:r>
      <w:r w:rsidR="00436CB1">
        <w:t xml:space="preserve"> </w:t>
      </w:r>
      <w:r>
        <w:t>“The C</w:t>
      </w:r>
      <w:r w:rsidR="00436CB1">
        <w:t>ourt of Attila</w:t>
      </w:r>
      <w:r>
        <w:t>.”</w:t>
      </w:r>
    </w:p>
    <w:p w14:paraId="5D44E377" w14:textId="0B904B48" w:rsidR="00436CB1" w:rsidRDefault="00D77D09" w:rsidP="00D77D09">
      <w:pPr>
        <w:pStyle w:val="ListParagraph"/>
        <w:numPr>
          <w:ilvl w:val="0"/>
          <w:numId w:val="22"/>
        </w:numPr>
      </w:pPr>
      <w:r>
        <w:t>Tacitus.</w:t>
      </w:r>
      <w:r w:rsidR="00436CB1">
        <w:t xml:space="preserve"> </w:t>
      </w:r>
      <w:r w:rsidR="00436CB1" w:rsidRPr="00D77D09">
        <w:rPr>
          <w:i/>
        </w:rPr>
        <w:t>Germania</w:t>
      </w:r>
      <w:r>
        <w:rPr>
          <w:i/>
        </w:rPr>
        <w:t>.</w:t>
      </w:r>
    </w:p>
    <w:p w14:paraId="6D8D3B11" w14:textId="77777777" w:rsidR="00137C5B" w:rsidRDefault="00137C5B" w:rsidP="00436CB1"/>
    <w:p w14:paraId="78786C57" w14:textId="1F9A151C" w:rsidR="000901A7" w:rsidRPr="00FE1680" w:rsidRDefault="000901A7" w:rsidP="007D648E">
      <w:r>
        <w:rPr>
          <w:i/>
        </w:rPr>
        <w:t>For reference</w:t>
      </w:r>
      <w:r w:rsidR="00FE1680">
        <w:t xml:space="preserve">: </w:t>
      </w:r>
      <w:r w:rsidR="00F10E26">
        <w:t xml:space="preserve">Hansen &amp; Curtis, </w:t>
      </w:r>
      <w:r w:rsidR="00FE1680">
        <w:t>Chapter 5, 127-131 (“War, Politics, and the Decline of the Maya”); Chapter 7, 200-211 (“The Loss of the Western” to the end)</w:t>
      </w:r>
    </w:p>
    <w:p w14:paraId="3EE13147" w14:textId="77777777" w:rsidR="000901A7" w:rsidRPr="000901A7" w:rsidRDefault="000901A7" w:rsidP="007D648E">
      <w:pPr>
        <w:rPr>
          <w:i/>
        </w:rPr>
      </w:pPr>
    </w:p>
    <w:p w14:paraId="7F9E4EBB" w14:textId="6B031A11" w:rsidR="00F2589E" w:rsidRPr="00436CB1" w:rsidRDefault="00F2589E" w:rsidP="007D648E">
      <w:pPr>
        <w:rPr>
          <w:b/>
        </w:rPr>
      </w:pPr>
      <w:r>
        <w:rPr>
          <w:b/>
          <w:u w:val="single"/>
        </w:rPr>
        <w:t>10 Mar</w:t>
      </w:r>
      <w:r w:rsidR="00F10E26">
        <w:rPr>
          <w:b/>
          <w:u w:val="single"/>
        </w:rPr>
        <w:t xml:space="preserve"> (</w:t>
      </w:r>
      <w:r w:rsidR="00436CB1" w:rsidRPr="00F10E26">
        <w:rPr>
          <w:b/>
          <w:u w:val="single"/>
        </w:rPr>
        <w:t xml:space="preserve">Climate Change, Disease, and </w:t>
      </w:r>
      <w:r w:rsidR="00F10E26">
        <w:rPr>
          <w:b/>
          <w:u w:val="single"/>
        </w:rPr>
        <w:t xml:space="preserve">Justinian’s </w:t>
      </w:r>
      <w:r w:rsidR="00436CB1" w:rsidRPr="00F10E26">
        <w:rPr>
          <w:b/>
          <w:u w:val="single"/>
        </w:rPr>
        <w:t>Nostalgia</w:t>
      </w:r>
      <w:r w:rsidR="00F10E26">
        <w:rPr>
          <w:b/>
          <w:u w:val="single"/>
        </w:rPr>
        <w:t>)</w:t>
      </w:r>
    </w:p>
    <w:p w14:paraId="7D60C4F3" w14:textId="1E54B93C" w:rsidR="007D648E" w:rsidRDefault="000901A7" w:rsidP="007D648E">
      <w:r>
        <w:rPr>
          <w:i/>
        </w:rPr>
        <w:t>Please read before lecture 10 Mar; required for sections during 8-10 Mar</w:t>
      </w:r>
    </w:p>
    <w:p w14:paraId="202EE247" w14:textId="63412080" w:rsidR="00C34E11" w:rsidRPr="00C34E11" w:rsidRDefault="00C34E11" w:rsidP="00D77D09">
      <w:pPr>
        <w:pStyle w:val="ListParagraph"/>
        <w:numPr>
          <w:ilvl w:val="0"/>
          <w:numId w:val="23"/>
        </w:numPr>
      </w:pPr>
      <w:r>
        <w:t>Bonn-Muller, Eli. “</w:t>
      </w:r>
      <w:hyperlink r:id="rId31" w:history="1">
        <w:r w:rsidRPr="008C5817">
          <w:rPr>
            <w:rStyle w:val="Hyperlink"/>
          </w:rPr>
          <w:t>Artifact: Statue of a Boddhitsava</w:t>
        </w:r>
      </w:hyperlink>
      <w:r>
        <w:t xml:space="preserve">.” </w:t>
      </w:r>
      <w:r w:rsidRPr="00D77D09">
        <w:rPr>
          <w:i/>
        </w:rPr>
        <w:t>Archaeology</w:t>
      </w:r>
      <w:r>
        <w:t xml:space="preserve"> 61.6 (2008).</w:t>
      </w:r>
    </w:p>
    <w:p w14:paraId="0FC397A8" w14:textId="77777777" w:rsidR="00845E24" w:rsidRPr="00B801C7" w:rsidRDefault="00845E24" w:rsidP="00D77D09">
      <w:pPr>
        <w:pStyle w:val="ListParagraph"/>
        <w:numPr>
          <w:ilvl w:val="0"/>
          <w:numId w:val="23"/>
        </w:numPr>
      </w:pPr>
      <w:r>
        <w:t xml:space="preserve">Gunn, Joel D. “AD 536 and Its 300 Year Aftermath.” In </w:t>
      </w:r>
      <w:r w:rsidRPr="00D77D09">
        <w:rPr>
          <w:i/>
        </w:rPr>
        <w:t>The Years without Summer: Tracing AD 536 and Its Aftermath</w:t>
      </w:r>
      <w:r>
        <w:t xml:space="preserve"> (London: 2000), 5-20</w:t>
      </w:r>
    </w:p>
    <w:p w14:paraId="61872606" w14:textId="4F6468FC" w:rsidR="002C53D4" w:rsidRDefault="000D7FFE" w:rsidP="00D77D09">
      <w:pPr>
        <w:pStyle w:val="ListParagraph"/>
        <w:numPr>
          <w:ilvl w:val="0"/>
          <w:numId w:val="23"/>
        </w:numPr>
      </w:pPr>
      <w:r>
        <w:t>“</w:t>
      </w:r>
      <w:hyperlink r:id="rId32" w:history="1">
        <w:r w:rsidRPr="000D7FFE">
          <w:rPr>
            <w:rStyle w:val="Hyperlink"/>
          </w:rPr>
          <w:t>Silk Road Served as Conduit for Parasites</w:t>
        </w:r>
      </w:hyperlink>
      <w:r>
        <w:t xml:space="preserve">.” </w:t>
      </w:r>
      <w:r w:rsidRPr="00D77D09">
        <w:rPr>
          <w:i/>
        </w:rPr>
        <w:t>Archaeology</w:t>
      </w:r>
      <w:r>
        <w:t xml:space="preserve"> (22 July 2016).</w:t>
      </w:r>
    </w:p>
    <w:p w14:paraId="62C084B7" w14:textId="3EFFDC77" w:rsidR="00532672" w:rsidRDefault="00532672" w:rsidP="00D77D09">
      <w:pPr>
        <w:pStyle w:val="ListParagraph"/>
        <w:numPr>
          <w:ilvl w:val="0"/>
          <w:numId w:val="23"/>
        </w:numPr>
      </w:pPr>
      <w:r>
        <w:t>Wagner, David, et al. “</w:t>
      </w:r>
      <w:hyperlink r:id="rId33" w:history="1">
        <w:r w:rsidRPr="00D77D09">
          <w:rPr>
            <w:rStyle w:val="Hyperlink"/>
            <w:i/>
          </w:rPr>
          <w:t>Yersina pestis</w:t>
        </w:r>
        <w:r w:rsidRPr="00532672">
          <w:rPr>
            <w:rStyle w:val="Hyperlink"/>
          </w:rPr>
          <w:t xml:space="preserve"> and the Plague of Justinian, 541-543 AD: A Genomic analysis</w:t>
        </w:r>
      </w:hyperlink>
      <w:r>
        <w:t xml:space="preserve">.” </w:t>
      </w:r>
      <w:r w:rsidRPr="00D77D09">
        <w:rPr>
          <w:i/>
        </w:rPr>
        <w:t>Lancet</w:t>
      </w:r>
      <w:r>
        <w:t xml:space="preserve"> 14.4 (2014), 319-26.</w:t>
      </w:r>
    </w:p>
    <w:p w14:paraId="23E6A7CF" w14:textId="77777777" w:rsidR="00532672" w:rsidRPr="000D7FFE" w:rsidRDefault="00532672" w:rsidP="007D648E"/>
    <w:p w14:paraId="7006A038" w14:textId="752885F8" w:rsidR="007D648E" w:rsidRPr="00A3168B" w:rsidRDefault="000901A7" w:rsidP="007D648E">
      <w:r>
        <w:rPr>
          <w:i/>
        </w:rPr>
        <w:t>For reference:</w:t>
      </w:r>
      <w:r w:rsidR="00A3168B">
        <w:t xml:space="preserve"> </w:t>
      </w:r>
      <w:r w:rsidR="00F10E26">
        <w:t xml:space="preserve">Hansen &amp; Curtis, </w:t>
      </w:r>
      <w:r w:rsidR="00A3168B">
        <w:t xml:space="preserve">Chapter 8, 227- </w:t>
      </w:r>
      <w:r w:rsidR="00F07CC8">
        <w:t>230</w:t>
      </w:r>
      <w:r w:rsidR="00A3168B">
        <w:t>(“China Reunified” up to “The Long Decline”)</w:t>
      </w:r>
    </w:p>
    <w:p w14:paraId="562B5DAF" w14:textId="7B8C7929" w:rsidR="007D648E" w:rsidRDefault="00F85448" w:rsidP="007D648E">
      <w:pPr>
        <w:pStyle w:val="Heading2"/>
      </w:pPr>
      <w:r>
        <w:t>Unit 8</w:t>
      </w:r>
      <w:bookmarkStart w:id="0" w:name="_GoBack"/>
      <w:bookmarkEnd w:id="0"/>
      <w:r w:rsidR="007D648E">
        <w:t>:</w:t>
      </w:r>
      <w:r w:rsidR="007D648E">
        <w:tab/>
      </w:r>
      <w:r w:rsidR="00436CB1">
        <w:t>The Cosmopolitan Empires of Late Antiquity</w:t>
      </w:r>
      <w:r w:rsidR="007D648E">
        <w:t xml:space="preserve"> </w:t>
      </w:r>
      <w:r w:rsidR="004E21B5">
        <w:t>(800 CE)</w:t>
      </w:r>
    </w:p>
    <w:p w14:paraId="2A9B1405" w14:textId="01C8AAE7" w:rsidR="00436CB1" w:rsidRPr="00436CB1" w:rsidRDefault="00F2589E" w:rsidP="00F2589E">
      <w:pPr>
        <w:rPr>
          <w:b/>
        </w:rPr>
      </w:pPr>
      <w:r>
        <w:rPr>
          <w:b/>
          <w:u w:val="single"/>
        </w:rPr>
        <w:t>15 Mar</w:t>
      </w:r>
      <w:r w:rsidR="00F10E26">
        <w:rPr>
          <w:b/>
          <w:u w:val="single"/>
        </w:rPr>
        <w:t xml:space="preserve"> (</w:t>
      </w:r>
      <w:r w:rsidR="00436CB1" w:rsidRPr="00F10E26">
        <w:rPr>
          <w:b/>
          <w:u w:val="single"/>
        </w:rPr>
        <w:t>The Umayyad Caliphate</w:t>
      </w:r>
      <w:r w:rsidR="00F10E26">
        <w:rPr>
          <w:b/>
          <w:u w:val="single"/>
        </w:rPr>
        <w:t>)</w:t>
      </w:r>
    </w:p>
    <w:p w14:paraId="536B4BB9" w14:textId="1A5BCF0C" w:rsidR="00F2589E" w:rsidRPr="00F46DC4" w:rsidRDefault="00F46DC4" w:rsidP="00F2589E">
      <w:pPr>
        <w:rPr>
          <w:b/>
        </w:rPr>
      </w:pPr>
      <w:r>
        <w:rPr>
          <w:b/>
        </w:rPr>
        <w:t>Paper due in class.</w:t>
      </w:r>
    </w:p>
    <w:p w14:paraId="5644CC33" w14:textId="39C3739C" w:rsidR="00F2589E" w:rsidRDefault="000901A7" w:rsidP="00F2589E">
      <w:pPr>
        <w:rPr>
          <w:i/>
        </w:rPr>
      </w:pPr>
      <w:r>
        <w:rPr>
          <w:i/>
        </w:rPr>
        <w:t>Please read before lecture 15 Mar; required for sections during 15-17 Mar</w:t>
      </w:r>
    </w:p>
    <w:p w14:paraId="183366F4" w14:textId="2AF5FD35" w:rsidR="00845E24" w:rsidRDefault="00D77D09" w:rsidP="00D77D09">
      <w:pPr>
        <w:pStyle w:val="ListParagraph"/>
        <w:numPr>
          <w:ilvl w:val="0"/>
          <w:numId w:val="24"/>
        </w:numPr>
      </w:pPr>
      <w:r>
        <w:t>Abu Uthman. “</w:t>
      </w:r>
      <w:r w:rsidR="00845E24">
        <w:t>On the Zanj</w:t>
      </w:r>
      <w:r>
        <w:t>.”</w:t>
      </w:r>
    </w:p>
    <w:p w14:paraId="57D83FF8" w14:textId="39FFAB67" w:rsidR="00845E24" w:rsidRDefault="00845E24" w:rsidP="00D77D09">
      <w:pPr>
        <w:pStyle w:val="ListParagraph"/>
        <w:numPr>
          <w:ilvl w:val="0"/>
          <w:numId w:val="24"/>
        </w:numPr>
      </w:pPr>
      <w:r>
        <w:t xml:space="preserve">Ibn Ishaq. </w:t>
      </w:r>
      <w:r w:rsidRPr="00D77D09">
        <w:rPr>
          <w:i/>
        </w:rPr>
        <w:t>Biography of the Messenger of God</w:t>
      </w:r>
      <w:r w:rsidR="00D77D09">
        <w:rPr>
          <w:i/>
        </w:rPr>
        <w:t>.</w:t>
      </w:r>
    </w:p>
    <w:p w14:paraId="0CAF273F" w14:textId="205F5D65" w:rsidR="00845E24" w:rsidRDefault="00845E24" w:rsidP="00D77D09">
      <w:pPr>
        <w:pStyle w:val="ListParagraph"/>
        <w:numPr>
          <w:ilvl w:val="0"/>
          <w:numId w:val="24"/>
        </w:numPr>
      </w:pPr>
      <w:r>
        <w:t>Pact of Umar</w:t>
      </w:r>
      <w:r w:rsidR="00D77D09">
        <w:t>.</w:t>
      </w:r>
    </w:p>
    <w:p w14:paraId="3414A2D0" w14:textId="665CE357" w:rsidR="00436CB1" w:rsidRDefault="00436CB1" w:rsidP="00D77D09">
      <w:pPr>
        <w:pStyle w:val="ListParagraph"/>
        <w:numPr>
          <w:ilvl w:val="0"/>
          <w:numId w:val="24"/>
        </w:numPr>
      </w:pPr>
      <w:r>
        <w:t>Qur</w:t>
      </w:r>
      <w:r w:rsidR="00D77D09">
        <w:t>’</w:t>
      </w:r>
      <w:r>
        <w:t>an</w:t>
      </w:r>
      <w:r w:rsidR="00D77D09">
        <w:t>.</w:t>
      </w:r>
    </w:p>
    <w:p w14:paraId="66715A7B" w14:textId="148A677C" w:rsidR="00015AB9" w:rsidRDefault="00015AB9" w:rsidP="00D77D09">
      <w:pPr>
        <w:pStyle w:val="ListParagraph"/>
        <w:numPr>
          <w:ilvl w:val="0"/>
          <w:numId w:val="24"/>
        </w:numPr>
      </w:pPr>
      <w:r>
        <w:t>Quranic Comments on the Torah and the Gospels</w:t>
      </w:r>
      <w:r w:rsidR="00D77D09">
        <w:t>.</w:t>
      </w:r>
    </w:p>
    <w:p w14:paraId="31E3E2C3" w14:textId="77777777" w:rsidR="00436CB1" w:rsidRPr="00436CB1" w:rsidRDefault="00436CB1" w:rsidP="00F2589E"/>
    <w:p w14:paraId="1A370BEE" w14:textId="2EA88124" w:rsidR="000901A7" w:rsidRPr="00F07CC8" w:rsidRDefault="000901A7" w:rsidP="00F2589E">
      <w:r>
        <w:rPr>
          <w:i/>
        </w:rPr>
        <w:t>For reference</w:t>
      </w:r>
      <w:r w:rsidR="00F07CC8">
        <w:t xml:space="preserve">: </w:t>
      </w:r>
      <w:r w:rsidR="00F10E26">
        <w:t xml:space="preserve">Hansen &amp; Curtis, </w:t>
      </w:r>
      <w:r w:rsidR="00F07CC8">
        <w:t>Chapter 9, 246- 255 (“The Origins of Islam and the First Caliphate”)</w:t>
      </w:r>
    </w:p>
    <w:p w14:paraId="0DDA62CC" w14:textId="77777777" w:rsidR="000901A7" w:rsidRDefault="000901A7" w:rsidP="00F2589E">
      <w:pPr>
        <w:rPr>
          <w:b/>
          <w:u w:val="single"/>
        </w:rPr>
      </w:pPr>
    </w:p>
    <w:p w14:paraId="3A7010D3" w14:textId="3CCA5251" w:rsidR="00F2589E" w:rsidRPr="00436CB1" w:rsidRDefault="00F2589E" w:rsidP="00F2589E">
      <w:pPr>
        <w:rPr>
          <w:b/>
        </w:rPr>
      </w:pPr>
      <w:r>
        <w:rPr>
          <w:b/>
          <w:u w:val="single"/>
        </w:rPr>
        <w:t>17 Mar</w:t>
      </w:r>
      <w:r w:rsidR="00F10E26">
        <w:rPr>
          <w:b/>
          <w:u w:val="single"/>
        </w:rPr>
        <w:t xml:space="preserve"> (</w:t>
      </w:r>
      <w:r w:rsidR="00436CB1">
        <w:rPr>
          <w:b/>
        </w:rPr>
        <w:t>Tang China</w:t>
      </w:r>
      <w:r w:rsidR="00F10E26">
        <w:rPr>
          <w:b/>
        </w:rPr>
        <w:t>)</w:t>
      </w:r>
    </w:p>
    <w:p w14:paraId="2184FFB7" w14:textId="66C41027" w:rsidR="00F2589E" w:rsidRDefault="000901A7" w:rsidP="00F2589E">
      <w:pPr>
        <w:rPr>
          <w:i/>
        </w:rPr>
      </w:pPr>
      <w:r>
        <w:rPr>
          <w:i/>
        </w:rPr>
        <w:t xml:space="preserve">Please read before lecture </w:t>
      </w:r>
      <w:r w:rsidR="00F46DC4">
        <w:rPr>
          <w:i/>
        </w:rPr>
        <w:t>17 Mar; required for sections during 15-17 Mar</w:t>
      </w:r>
    </w:p>
    <w:p w14:paraId="52117D13" w14:textId="77777777" w:rsidR="00015AB9" w:rsidRDefault="00015AB9" w:rsidP="00D77D09">
      <w:pPr>
        <w:pStyle w:val="ListParagraph"/>
        <w:numPr>
          <w:ilvl w:val="0"/>
          <w:numId w:val="25"/>
        </w:numPr>
      </w:pPr>
      <w:r>
        <w:t>Camhi, Leslie. “</w:t>
      </w:r>
      <w:hyperlink r:id="rId34" w:history="1">
        <w:r w:rsidRPr="00A530A4">
          <w:rPr>
            <w:rStyle w:val="Hyperlink"/>
          </w:rPr>
          <w:t>Art/Architecture; Ruins of an Old Christian Church on Lao-Tzu’s Turf</w:t>
        </w:r>
      </w:hyperlink>
      <w:r>
        <w:t xml:space="preserve">.” </w:t>
      </w:r>
      <w:r w:rsidRPr="00D77D09">
        <w:rPr>
          <w:i/>
        </w:rPr>
        <w:t>New York Times</w:t>
      </w:r>
      <w:r>
        <w:t xml:space="preserve"> (24 February 2002).</w:t>
      </w:r>
    </w:p>
    <w:p w14:paraId="5FC7CB08" w14:textId="220C41D3" w:rsidR="00015AB9" w:rsidRPr="00436CB1" w:rsidRDefault="00015AB9" w:rsidP="00D77D09">
      <w:pPr>
        <w:pStyle w:val="ListParagraph"/>
        <w:numPr>
          <w:ilvl w:val="0"/>
          <w:numId w:val="25"/>
        </w:numPr>
      </w:pPr>
      <w:r>
        <w:t>Han Yu</w:t>
      </w:r>
      <w:r w:rsidR="00D77D09">
        <w:t>.</w:t>
      </w:r>
      <w:r>
        <w:t xml:space="preserve"> </w:t>
      </w:r>
      <w:r w:rsidR="00D77D09">
        <w:t>“</w:t>
      </w:r>
      <w:r>
        <w:t>Memorial on the Bon</w:t>
      </w:r>
      <w:r w:rsidR="00D77D09">
        <w:t>e of Buddha.”</w:t>
      </w:r>
    </w:p>
    <w:p w14:paraId="619A8AB1" w14:textId="77777777" w:rsidR="00015AB9" w:rsidRPr="00A530A4" w:rsidRDefault="00015AB9" w:rsidP="00D77D09">
      <w:pPr>
        <w:pStyle w:val="ListParagraph"/>
        <w:numPr>
          <w:ilvl w:val="0"/>
          <w:numId w:val="25"/>
        </w:numPr>
      </w:pPr>
      <w:r>
        <w:t>Härke, Heinrich. “</w:t>
      </w:r>
      <w:hyperlink r:id="rId35" w:history="1">
        <w:r w:rsidRPr="00A530A4">
          <w:rPr>
            <w:rStyle w:val="Hyperlink"/>
          </w:rPr>
          <w:t>Letter from Siberia: Fortress of Solitude</w:t>
        </w:r>
      </w:hyperlink>
      <w:r>
        <w:t xml:space="preserve">.” </w:t>
      </w:r>
      <w:r w:rsidRPr="00D77D09">
        <w:rPr>
          <w:i/>
        </w:rPr>
        <w:t>Archaeology</w:t>
      </w:r>
      <w:r>
        <w:t xml:space="preserve"> 63.6 (2010)</w:t>
      </w:r>
    </w:p>
    <w:p w14:paraId="2E59151B" w14:textId="5688E46D" w:rsidR="00015AB9" w:rsidRDefault="00D77D09" w:rsidP="00D77D09">
      <w:pPr>
        <w:pStyle w:val="ListParagraph"/>
        <w:numPr>
          <w:ilvl w:val="0"/>
          <w:numId w:val="25"/>
        </w:numPr>
      </w:pPr>
      <w:r>
        <w:t>The Jesus Sutras.</w:t>
      </w:r>
    </w:p>
    <w:p w14:paraId="026AA77B" w14:textId="77777777" w:rsidR="00015AB9" w:rsidRDefault="00015AB9" w:rsidP="00D77D09">
      <w:pPr>
        <w:pStyle w:val="ListParagraph"/>
        <w:numPr>
          <w:ilvl w:val="0"/>
          <w:numId w:val="25"/>
        </w:numPr>
      </w:pPr>
      <w:r>
        <w:t>Kim, Hyung-eun. “</w:t>
      </w:r>
      <w:hyperlink r:id="rId36" w:history="1">
        <w:r w:rsidRPr="008C5817">
          <w:rPr>
            <w:rStyle w:val="Hyperlink"/>
          </w:rPr>
          <w:t>North Korea’s Full Moon Tower</w:t>
        </w:r>
      </w:hyperlink>
      <w:r>
        <w:t xml:space="preserve">.” </w:t>
      </w:r>
      <w:r w:rsidRPr="00D77D09">
        <w:rPr>
          <w:i/>
        </w:rPr>
        <w:t xml:space="preserve">Archaeology </w:t>
      </w:r>
      <w:r>
        <w:t>64.3 (2011)</w:t>
      </w:r>
    </w:p>
    <w:p w14:paraId="40FF366C" w14:textId="77777777" w:rsidR="00015AB9" w:rsidRDefault="00015AB9" w:rsidP="00D77D09">
      <w:pPr>
        <w:pStyle w:val="ListParagraph"/>
        <w:numPr>
          <w:ilvl w:val="0"/>
          <w:numId w:val="25"/>
        </w:numPr>
      </w:pPr>
      <w:r>
        <w:t>Powell, Eric A. “</w:t>
      </w:r>
      <w:hyperlink r:id="rId37" w:history="1">
        <w:r w:rsidRPr="008C5817">
          <w:rPr>
            <w:rStyle w:val="Hyperlink"/>
          </w:rPr>
          <w:t>Exhibitions: The Romance of Route AD 660</w:t>
        </w:r>
      </w:hyperlink>
      <w:r>
        <w:t xml:space="preserve">.” </w:t>
      </w:r>
      <w:r w:rsidRPr="00D77D09">
        <w:rPr>
          <w:i/>
        </w:rPr>
        <w:t>Archaeology</w:t>
      </w:r>
      <w:r>
        <w:t xml:space="preserve"> 63.2 (2010)</w:t>
      </w:r>
    </w:p>
    <w:p w14:paraId="547D521D" w14:textId="6697DBD5" w:rsidR="00F46DC4" w:rsidRDefault="00436CB1" w:rsidP="00D77D09">
      <w:pPr>
        <w:pStyle w:val="ListParagraph"/>
        <w:numPr>
          <w:ilvl w:val="0"/>
          <w:numId w:val="25"/>
        </w:numPr>
      </w:pPr>
      <w:r>
        <w:t>Prince Shotoku</w:t>
      </w:r>
      <w:r w:rsidR="00D77D09">
        <w:t>.</w:t>
      </w:r>
    </w:p>
    <w:p w14:paraId="0480BD34" w14:textId="77777777" w:rsidR="00A3168B" w:rsidRDefault="00A3168B" w:rsidP="00F2589E">
      <w:pPr>
        <w:rPr>
          <w:i/>
        </w:rPr>
      </w:pPr>
    </w:p>
    <w:p w14:paraId="0AAC9E69" w14:textId="116F1A46" w:rsidR="00F46DC4" w:rsidRPr="00A3168B" w:rsidRDefault="00F46DC4" w:rsidP="00F2589E">
      <w:r>
        <w:rPr>
          <w:i/>
        </w:rPr>
        <w:t>For reference</w:t>
      </w:r>
      <w:r w:rsidR="00A3168B">
        <w:t xml:space="preserve">: </w:t>
      </w:r>
      <w:r w:rsidR="00F10E26">
        <w:t xml:space="preserve">Hansen &amp; Curtis, </w:t>
      </w:r>
      <w:r w:rsidR="00A3168B">
        <w:t>Chapter 8, 212-215 (“Portrait of Ennin”)</w:t>
      </w:r>
      <w:r w:rsidR="00F07CC8">
        <w:t>, 230-243 (“The Long Decline…” to the end).</w:t>
      </w:r>
    </w:p>
    <w:p w14:paraId="7FD72757" w14:textId="77777777" w:rsidR="000901A7" w:rsidRDefault="000901A7" w:rsidP="00F2589E">
      <w:pPr>
        <w:rPr>
          <w:b/>
          <w:u w:val="single"/>
        </w:rPr>
      </w:pPr>
    </w:p>
    <w:p w14:paraId="0652D77E" w14:textId="6E4F9AE3" w:rsidR="00F2589E" w:rsidRPr="00F2589E" w:rsidRDefault="00F2589E" w:rsidP="00F2589E">
      <w:pPr>
        <w:rPr>
          <w:b/>
        </w:rPr>
      </w:pPr>
      <w:r>
        <w:rPr>
          <w:b/>
          <w:u w:val="single"/>
        </w:rPr>
        <w:t>20 Mar</w:t>
      </w:r>
      <w:r>
        <w:tab/>
      </w:r>
      <w:r>
        <w:rPr>
          <w:b/>
        </w:rPr>
        <w:t>Final, 4 – 7 pm</w:t>
      </w:r>
      <w:r w:rsidR="00F10E26">
        <w:rPr>
          <w:b/>
        </w:rPr>
        <w:t>, TD-W 1701.</w:t>
      </w:r>
    </w:p>
    <w:sectPr w:rsidR="00F2589E" w:rsidRPr="00F2589E" w:rsidSect="00417EF5">
      <w:headerReference w:type="default" r:id="rId38"/>
      <w:footerReference w:type="even"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18A58" w14:textId="77777777" w:rsidR="00E82DF7" w:rsidRDefault="00E82DF7" w:rsidP="00CC3399">
      <w:r>
        <w:separator/>
      </w:r>
    </w:p>
  </w:endnote>
  <w:endnote w:type="continuationSeparator" w:id="0">
    <w:p w14:paraId="251F8169" w14:textId="77777777" w:rsidR="00E82DF7" w:rsidRDefault="00E82DF7" w:rsidP="00CC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826CB" w14:textId="77777777" w:rsidR="00E82DF7" w:rsidRDefault="00E82DF7" w:rsidP="00E34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BC4537" w14:textId="77777777" w:rsidR="00E82DF7" w:rsidRDefault="00E82DF7" w:rsidP="005573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68218" w14:textId="77777777" w:rsidR="00E82DF7" w:rsidRDefault="00E82DF7" w:rsidP="00E34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5448">
      <w:rPr>
        <w:rStyle w:val="PageNumber"/>
        <w:noProof/>
      </w:rPr>
      <w:t>1</w:t>
    </w:r>
    <w:r>
      <w:rPr>
        <w:rStyle w:val="PageNumber"/>
      </w:rPr>
      <w:fldChar w:fldCharType="end"/>
    </w:r>
  </w:p>
  <w:p w14:paraId="5ED078C8" w14:textId="77777777" w:rsidR="00E82DF7" w:rsidRDefault="00E82DF7" w:rsidP="005573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EE971" w14:textId="77777777" w:rsidR="00E82DF7" w:rsidRDefault="00E82DF7" w:rsidP="00CC3399">
      <w:r>
        <w:separator/>
      </w:r>
    </w:p>
  </w:footnote>
  <w:footnote w:type="continuationSeparator" w:id="0">
    <w:p w14:paraId="5B22E4F3" w14:textId="77777777" w:rsidR="00E82DF7" w:rsidRDefault="00E82DF7" w:rsidP="00CC3399">
      <w:r>
        <w:continuationSeparator/>
      </w:r>
    </w:p>
  </w:footnote>
  <w:footnote w:id="1">
    <w:p w14:paraId="267BB228" w14:textId="5224CD92" w:rsidR="00E82DF7" w:rsidRPr="00C5032D" w:rsidRDefault="00E82DF7">
      <w:pPr>
        <w:pStyle w:val="FootnoteText"/>
        <w:rPr>
          <w:sz w:val="20"/>
          <w:szCs w:val="20"/>
        </w:rPr>
      </w:pPr>
      <w:r w:rsidRPr="00C5032D">
        <w:rPr>
          <w:rStyle w:val="FootnoteReference"/>
          <w:sz w:val="20"/>
          <w:szCs w:val="20"/>
        </w:rPr>
        <w:footnoteRef/>
      </w:r>
      <w:r w:rsidRPr="00C5032D">
        <w:rPr>
          <w:sz w:val="20"/>
          <w:szCs w:val="20"/>
        </w:rPr>
        <w:t xml:space="preserve"> </w:t>
      </w:r>
      <w:r w:rsidRPr="00C5032D">
        <w:rPr>
          <w:i/>
          <w:sz w:val="20"/>
          <w:szCs w:val="20"/>
        </w:rPr>
        <w:t>Oxford English Dictionary</w:t>
      </w:r>
      <w:r w:rsidRPr="00C5032D">
        <w:rPr>
          <w:sz w:val="20"/>
          <w:szCs w:val="20"/>
        </w:rPr>
        <w:t>, s.v. “</w:t>
      </w:r>
      <w:hyperlink r:id="rId1" w:anchor="eid" w:history="1">
        <w:r w:rsidRPr="00C5032D">
          <w:rPr>
            <w:rStyle w:val="Hyperlink"/>
            <w:sz w:val="20"/>
            <w:szCs w:val="20"/>
          </w:rPr>
          <w:t>ancient history</w:t>
        </w:r>
      </w:hyperlink>
      <w:r w:rsidRPr="00C5032D">
        <w:rPr>
          <w:sz w:val="20"/>
          <w:szCs w:val="20"/>
        </w:rPr>
        <w:t>.”</w:t>
      </w:r>
    </w:p>
  </w:footnote>
  <w:footnote w:id="2">
    <w:p w14:paraId="0B5F7D9E" w14:textId="48D31D82" w:rsidR="00E82DF7" w:rsidRPr="00C5032D" w:rsidRDefault="00E82DF7">
      <w:pPr>
        <w:pStyle w:val="FootnoteText"/>
        <w:rPr>
          <w:sz w:val="20"/>
          <w:szCs w:val="20"/>
        </w:rPr>
      </w:pPr>
      <w:r w:rsidRPr="00C5032D">
        <w:rPr>
          <w:rStyle w:val="FootnoteReference"/>
          <w:sz w:val="20"/>
          <w:szCs w:val="20"/>
        </w:rPr>
        <w:footnoteRef/>
      </w:r>
      <w:r w:rsidRPr="00C5032D">
        <w:rPr>
          <w:sz w:val="20"/>
          <w:szCs w:val="20"/>
        </w:rPr>
        <w:t xml:space="preserve"> See Hansen and Curtis, 3 for CE and BCE dating.</w:t>
      </w:r>
    </w:p>
  </w:footnote>
  <w:footnote w:id="3">
    <w:p w14:paraId="110EB915" w14:textId="77777777" w:rsidR="00E82DF7" w:rsidRPr="00C5032D" w:rsidRDefault="00E82DF7" w:rsidP="009E01D1">
      <w:pPr>
        <w:shd w:val="clear" w:color="auto" w:fill="FFFFFF"/>
        <w:spacing w:line="240" w:lineRule="atLeast"/>
        <w:rPr>
          <w:rFonts w:eastAsia="Times New Roman" w:cs="Arial"/>
          <w:color w:val="222222"/>
          <w:sz w:val="20"/>
          <w:szCs w:val="20"/>
        </w:rPr>
      </w:pPr>
      <w:r w:rsidRPr="00C5032D">
        <w:rPr>
          <w:rStyle w:val="FootnoteReference"/>
          <w:sz w:val="20"/>
          <w:szCs w:val="20"/>
        </w:rPr>
        <w:footnoteRef/>
      </w:r>
      <w:r w:rsidRPr="00C5032D">
        <w:rPr>
          <w:rFonts w:ascii="Arial" w:eastAsia="Times New Roman" w:hAnsi="Arial" w:cs="Arial"/>
          <w:color w:val="222222"/>
          <w:sz w:val="20"/>
          <w:szCs w:val="20"/>
        </w:rPr>
        <w:t xml:space="preserve"> </w:t>
      </w:r>
      <w:r w:rsidRPr="00C5032D">
        <w:rPr>
          <w:rFonts w:eastAsia="Times New Roman" w:cs="Arial"/>
          <w:color w:val="222222"/>
          <w:sz w:val="20"/>
          <w:szCs w:val="20"/>
        </w:rPr>
        <w:t>Edwin A. Miles, "</w:t>
      </w:r>
      <w:hyperlink r:id="rId2" w:anchor="page_scan_tab_contents" w:history="1">
        <w:r w:rsidRPr="00C5032D">
          <w:rPr>
            <w:rStyle w:val="Hyperlink"/>
            <w:rFonts w:eastAsia="Times New Roman" w:cs="Arial"/>
            <w:sz w:val="20"/>
            <w:szCs w:val="20"/>
          </w:rPr>
          <w:t>The Young American Nation and the Classical World</w:t>
        </w:r>
      </w:hyperlink>
      <w:r w:rsidRPr="00C5032D">
        <w:rPr>
          <w:rFonts w:eastAsia="Times New Roman" w:cs="Arial"/>
          <w:color w:val="222222"/>
          <w:sz w:val="20"/>
          <w:szCs w:val="20"/>
        </w:rPr>
        <w:t>." </w:t>
      </w:r>
      <w:r w:rsidRPr="00C5032D">
        <w:rPr>
          <w:rFonts w:eastAsia="Times New Roman" w:cs="Arial"/>
          <w:i/>
          <w:iCs/>
          <w:color w:val="222222"/>
          <w:sz w:val="20"/>
          <w:szCs w:val="20"/>
        </w:rPr>
        <w:t>Journal of the History of Ideas</w:t>
      </w:r>
      <w:r w:rsidRPr="00C5032D">
        <w:rPr>
          <w:rFonts w:eastAsia="Times New Roman" w:cs="Arial"/>
          <w:color w:val="222222"/>
          <w:sz w:val="20"/>
          <w:szCs w:val="20"/>
        </w:rPr>
        <w:t xml:space="preserve"> 35, no. 2 (1974): 259-74. </w:t>
      </w:r>
    </w:p>
  </w:footnote>
  <w:footnote w:id="4">
    <w:p w14:paraId="1F35E322" w14:textId="141097F3" w:rsidR="00E82DF7" w:rsidRPr="00C5032D" w:rsidRDefault="00E82DF7">
      <w:pPr>
        <w:pStyle w:val="FootnoteText"/>
        <w:rPr>
          <w:sz w:val="20"/>
          <w:szCs w:val="20"/>
        </w:rPr>
      </w:pPr>
      <w:r w:rsidRPr="00C5032D">
        <w:rPr>
          <w:rStyle w:val="FootnoteReference"/>
          <w:sz w:val="20"/>
          <w:szCs w:val="20"/>
        </w:rPr>
        <w:footnoteRef/>
      </w:r>
      <w:r w:rsidRPr="00C5032D">
        <w:rPr>
          <w:sz w:val="20"/>
          <w:szCs w:val="20"/>
        </w:rPr>
        <w:t xml:space="preserve"> See Daniel Walker Howe, “</w:t>
      </w:r>
      <w:hyperlink r:id="rId3" w:history="1">
        <w:r w:rsidRPr="00C5032D">
          <w:rPr>
            <w:rStyle w:val="Hyperlink"/>
            <w:sz w:val="20"/>
            <w:szCs w:val="20"/>
          </w:rPr>
          <w:t>Classical Education in America</w:t>
        </w:r>
      </w:hyperlink>
      <w:r w:rsidRPr="00C5032D">
        <w:rPr>
          <w:sz w:val="20"/>
          <w:szCs w:val="20"/>
        </w:rPr>
        <w:t xml:space="preserve">,” </w:t>
      </w:r>
      <w:r w:rsidRPr="00C5032D">
        <w:rPr>
          <w:i/>
          <w:sz w:val="20"/>
          <w:szCs w:val="20"/>
        </w:rPr>
        <w:t>Wilson Quarterly</w:t>
      </w:r>
      <w:r w:rsidRPr="00C5032D">
        <w:rPr>
          <w:sz w:val="20"/>
          <w:szCs w:val="20"/>
        </w:rPr>
        <w:t xml:space="preserve"> (Spring 2011).</w:t>
      </w:r>
    </w:p>
  </w:footnote>
  <w:footnote w:id="5">
    <w:p w14:paraId="7A523F34" w14:textId="042C44AF" w:rsidR="00E82DF7" w:rsidRPr="00417EF5" w:rsidRDefault="00E82DF7">
      <w:pPr>
        <w:pStyle w:val="FootnoteText"/>
        <w:rPr>
          <w:sz w:val="20"/>
          <w:szCs w:val="20"/>
        </w:rPr>
      </w:pPr>
      <w:r>
        <w:rPr>
          <w:rStyle w:val="FootnoteReference"/>
        </w:rPr>
        <w:footnoteRef/>
      </w:r>
      <w:r>
        <w:t xml:space="preserve"> </w:t>
      </w:r>
      <w:r>
        <w:rPr>
          <w:sz w:val="20"/>
          <w:szCs w:val="20"/>
        </w:rPr>
        <w:t xml:space="preserve">As John H. Arnold says, “to gather something of how we ‘come about’ as individual human beings…is also to be made aware of the possibility of doing things differently…[H]istory is an argument, and arguments present the opportunity for </w:t>
      </w:r>
      <w:r>
        <w:rPr>
          <w:i/>
          <w:sz w:val="20"/>
          <w:szCs w:val="20"/>
        </w:rPr>
        <w:t>change</w:t>
      </w:r>
      <w:r>
        <w:rPr>
          <w:sz w:val="20"/>
          <w:szCs w:val="20"/>
        </w:rPr>
        <w:t xml:space="preserve">….[H]istory allows us to demur, to point out that there have always been </w:t>
      </w:r>
      <w:r>
        <w:rPr>
          <w:i/>
          <w:sz w:val="20"/>
          <w:szCs w:val="20"/>
        </w:rPr>
        <w:t>many</w:t>
      </w:r>
      <w:r>
        <w:rPr>
          <w:sz w:val="20"/>
          <w:szCs w:val="20"/>
        </w:rPr>
        <w:t xml:space="preserve"> courses of action, </w:t>
      </w:r>
      <w:r>
        <w:rPr>
          <w:i/>
          <w:sz w:val="20"/>
          <w:szCs w:val="20"/>
        </w:rPr>
        <w:t>many</w:t>
      </w:r>
      <w:r>
        <w:rPr>
          <w:sz w:val="20"/>
          <w:szCs w:val="20"/>
        </w:rPr>
        <w:t xml:space="preserve"> ways of being. History provides us with the tools to dissent.” </w:t>
      </w:r>
      <w:r>
        <w:rPr>
          <w:i/>
          <w:sz w:val="20"/>
          <w:szCs w:val="20"/>
        </w:rPr>
        <w:t>History: A Very Short Introduction</w:t>
      </w:r>
      <w:r>
        <w:rPr>
          <w:sz w:val="20"/>
          <w:szCs w:val="20"/>
        </w:rPr>
        <w:t xml:space="preserve"> (Oxford, 2000), 122.</w:t>
      </w:r>
    </w:p>
  </w:footnote>
  <w:footnote w:id="6">
    <w:p w14:paraId="682AFD74" w14:textId="5C87877B" w:rsidR="00E82DF7" w:rsidRDefault="00E82DF7">
      <w:pPr>
        <w:pStyle w:val="FootnoteText"/>
      </w:pPr>
      <w:r w:rsidRPr="00C5032D">
        <w:rPr>
          <w:rStyle w:val="FootnoteReference"/>
          <w:sz w:val="20"/>
          <w:szCs w:val="20"/>
        </w:rPr>
        <w:footnoteRef/>
      </w:r>
      <w:r w:rsidRPr="00C5032D">
        <w:rPr>
          <w:sz w:val="20"/>
          <w:szCs w:val="20"/>
        </w:rPr>
        <w:t xml:space="preserve"> </w:t>
      </w:r>
      <w:hyperlink r:id="rId4" w:history="1">
        <w:r w:rsidRPr="00454F79">
          <w:rPr>
            <w:rStyle w:val="Hyperlink"/>
            <w:sz w:val="20"/>
            <w:szCs w:val="20"/>
          </w:rPr>
          <w:t>https://owl.english.purdue.edu/owl/resource/735/05/</w:t>
        </w:r>
      </w:hyperlink>
    </w:p>
  </w:footnote>
  <w:footnote w:id="7">
    <w:p w14:paraId="74D6BEE7" w14:textId="54C2CB03" w:rsidR="00E82DF7" w:rsidRPr="00454F79" w:rsidRDefault="00E82DF7" w:rsidP="00454F79">
      <w:pPr>
        <w:shd w:val="clear" w:color="auto" w:fill="FFFFFF"/>
        <w:rPr>
          <w:rFonts w:eastAsia="Times New Roman" w:cs="Times New Roman"/>
          <w:color w:val="222222"/>
          <w:sz w:val="20"/>
          <w:szCs w:val="20"/>
        </w:rPr>
      </w:pPr>
      <w:r w:rsidRPr="00DD362E">
        <w:rPr>
          <w:rStyle w:val="FootnoteReference"/>
        </w:rPr>
        <w:footnoteRef/>
      </w:r>
      <w:r w:rsidRPr="00DD362E">
        <w:t xml:space="preserve"> </w:t>
      </w:r>
      <w:r>
        <w:rPr>
          <w:sz w:val="20"/>
          <w:szCs w:val="20"/>
        </w:rPr>
        <w:t xml:space="preserve">Ronald P. </w:t>
      </w:r>
      <w:r w:rsidRPr="00DD362E">
        <w:rPr>
          <w:rFonts w:eastAsia="Times New Roman" w:cs="Times New Roman"/>
          <w:color w:val="222222"/>
          <w:sz w:val="20"/>
          <w:szCs w:val="20"/>
        </w:rPr>
        <w:t>Carver, "Reading Rate: Theory, Research, and Practical Implications." </w:t>
      </w:r>
      <w:r w:rsidRPr="00DD362E">
        <w:rPr>
          <w:rFonts w:eastAsia="Times New Roman" w:cs="Times New Roman"/>
          <w:i/>
          <w:iCs/>
          <w:color w:val="222222"/>
          <w:sz w:val="20"/>
          <w:szCs w:val="20"/>
        </w:rPr>
        <w:t>Journal of Reading</w:t>
      </w:r>
      <w:r w:rsidRPr="00DD362E">
        <w:rPr>
          <w:rFonts w:eastAsia="Times New Roman" w:cs="Times New Roman"/>
          <w:color w:val="222222"/>
          <w:sz w:val="20"/>
          <w:szCs w:val="20"/>
        </w:rPr>
        <w:t xml:space="preserve"> 36, no. 2 (1992): 84-95. </w:t>
      </w:r>
      <w:hyperlink r:id="rId5" w:history="1">
        <w:r w:rsidRPr="003504AF">
          <w:rPr>
            <w:rStyle w:val="Hyperlink"/>
            <w:rFonts w:eastAsia="Times New Roman" w:cs="Times New Roman"/>
            <w:sz w:val="20"/>
            <w:szCs w:val="20"/>
          </w:rPr>
          <w:t>http://www.jstor.org/stable/40016440</w:t>
        </w:r>
      </w:hyperlink>
      <w:r w:rsidRPr="00DD362E">
        <w:rPr>
          <w:rFonts w:eastAsia="Times New Roman" w:cs="Times New Roman"/>
          <w:color w:val="222222"/>
          <w:sz w:val="20"/>
          <w:szCs w:val="20"/>
        </w:rPr>
        <w:t>.</w:t>
      </w:r>
      <w:r>
        <w:rPr>
          <w:rFonts w:eastAsia="Times New Roman" w:cs="Times New Roman"/>
          <w:color w:val="222222"/>
          <w:sz w:val="20"/>
          <w:szCs w:val="20"/>
        </w:rPr>
        <w:t xml:space="preserve"> I assume that ancient sources will take you a bit longer.</w:t>
      </w:r>
    </w:p>
  </w:footnote>
  <w:footnote w:id="8">
    <w:p w14:paraId="3C73B0DE" w14:textId="4FF3051C" w:rsidR="00E82DF7" w:rsidRPr="00454F79" w:rsidRDefault="00E82DF7">
      <w:pPr>
        <w:pStyle w:val="FootnoteText"/>
        <w:rPr>
          <w:sz w:val="20"/>
          <w:szCs w:val="20"/>
        </w:rPr>
      </w:pPr>
      <w:r>
        <w:rPr>
          <w:rStyle w:val="FootnoteReference"/>
        </w:rPr>
        <w:footnoteRef/>
      </w:r>
      <w:r>
        <w:t xml:space="preserve"> </w:t>
      </w:r>
      <w:r>
        <w:rPr>
          <w:sz w:val="20"/>
          <w:szCs w:val="20"/>
        </w:rPr>
        <w:t>Please note that the schedule may change in response to unforeseen circumstances.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A08B8" w14:textId="68094FE8" w:rsidR="00E82DF7" w:rsidRDefault="00E82DF7" w:rsidP="00436CB1">
    <w:pPr>
      <w:pStyle w:val="Header"/>
      <w:tabs>
        <w:tab w:val="clear" w:pos="4320"/>
        <w:tab w:val="center" w:pos="8460"/>
      </w:tabs>
    </w:pPr>
    <w:r>
      <w:t>HIST 2A</w:t>
    </w:r>
    <w:r>
      <w:tab/>
      <w:t>Prof. Elizabeth Digeser</w:t>
    </w:r>
  </w:p>
  <w:p w14:paraId="2F36E214" w14:textId="1078F5A3" w:rsidR="00E82DF7" w:rsidRDefault="00E82DF7" w:rsidP="00E3434E">
    <w:pPr>
      <w:pStyle w:val="Header"/>
      <w:tabs>
        <w:tab w:val="clear" w:pos="8640"/>
        <w:tab w:val="right" w:pos="9360"/>
      </w:tabs>
    </w:pPr>
    <w:r>
      <w:t>Winter 2017</w:t>
    </w:r>
    <w:r>
      <w:tab/>
    </w:r>
    <w:r>
      <w:tab/>
      <w:t>HSSB 4217</w:t>
    </w:r>
  </w:p>
  <w:p w14:paraId="484B6BF2" w14:textId="1CFD851F" w:rsidR="00E82DF7" w:rsidRDefault="00E82DF7" w:rsidP="00E3434E">
    <w:pPr>
      <w:pStyle w:val="Header"/>
      <w:tabs>
        <w:tab w:val="clear" w:pos="8640"/>
        <w:tab w:val="right" w:pos="9360"/>
      </w:tabs>
    </w:pPr>
    <w:r>
      <w:t>TD-W 1701</w:t>
    </w:r>
    <w:r>
      <w:tab/>
    </w:r>
    <w:r>
      <w:tab/>
      <w:t>Office Hours: T 12-2, or by appointment</w:t>
    </w:r>
  </w:p>
  <w:p w14:paraId="0B743613" w14:textId="7F116271" w:rsidR="00E82DF7" w:rsidRDefault="00E82DF7">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AAE"/>
    <w:multiLevelType w:val="hybridMultilevel"/>
    <w:tmpl w:val="FCE0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662C4"/>
    <w:multiLevelType w:val="hybridMultilevel"/>
    <w:tmpl w:val="AFA4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C1313"/>
    <w:multiLevelType w:val="hybridMultilevel"/>
    <w:tmpl w:val="E47A9B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4509F"/>
    <w:multiLevelType w:val="hybridMultilevel"/>
    <w:tmpl w:val="3A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45700"/>
    <w:multiLevelType w:val="hybridMultilevel"/>
    <w:tmpl w:val="D624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25464"/>
    <w:multiLevelType w:val="hybridMultilevel"/>
    <w:tmpl w:val="A1C8E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D0A46"/>
    <w:multiLevelType w:val="hybridMultilevel"/>
    <w:tmpl w:val="A326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04425"/>
    <w:multiLevelType w:val="hybridMultilevel"/>
    <w:tmpl w:val="EABA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B061C"/>
    <w:multiLevelType w:val="hybridMultilevel"/>
    <w:tmpl w:val="FC20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52592"/>
    <w:multiLevelType w:val="hybridMultilevel"/>
    <w:tmpl w:val="084E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428BE"/>
    <w:multiLevelType w:val="hybridMultilevel"/>
    <w:tmpl w:val="5A38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53719A"/>
    <w:multiLevelType w:val="hybridMultilevel"/>
    <w:tmpl w:val="CA56E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A40180"/>
    <w:multiLevelType w:val="hybridMultilevel"/>
    <w:tmpl w:val="6F44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F4E6F"/>
    <w:multiLevelType w:val="hybridMultilevel"/>
    <w:tmpl w:val="7464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68041D"/>
    <w:multiLevelType w:val="hybridMultilevel"/>
    <w:tmpl w:val="02CE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5E3135"/>
    <w:multiLevelType w:val="hybridMultilevel"/>
    <w:tmpl w:val="E8A0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E31955"/>
    <w:multiLevelType w:val="hybridMultilevel"/>
    <w:tmpl w:val="0234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DD16EF"/>
    <w:multiLevelType w:val="hybridMultilevel"/>
    <w:tmpl w:val="036C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27332"/>
    <w:multiLevelType w:val="hybridMultilevel"/>
    <w:tmpl w:val="2F3A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C275E"/>
    <w:multiLevelType w:val="hybridMultilevel"/>
    <w:tmpl w:val="14D8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2154D9"/>
    <w:multiLevelType w:val="hybridMultilevel"/>
    <w:tmpl w:val="7AD4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2E193A"/>
    <w:multiLevelType w:val="hybridMultilevel"/>
    <w:tmpl w:val="ED0C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9E3B97"/>
    <w:multiLevelType w:val="hybridMultilevel"/>
    <w:tmpl w:val="BD1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3A34E5"/>
    <w:multiLevelType w:val="hybridMultilevel"/>
    <w:tmpl w:val="081E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9460E3"/>
    <w:multiLevelType w:val="hybridMultilevel"/>
    <w:tmpl w:val="C45E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1"/>
  </w:num>
  <w:num w:numId="4">
    <w:abstractNumId w:val="21"/>
  </w:num>
  <w:num w:numId="5">
    <w:abstractNumId w:val="10"/>
  </w:num>
  <w:num w:numId="6">
    <w:abstractNumId w:val="5"/>
  </w:num>
  <w:num w:numId="7">
    <w:abstractNumId w:val="2"/>
  </w:num>
  <w:num w:numId="8">
    <w:abstractNumId w:val="8"/>
  </w:num>
  <w:num w:numId="9">
    <w:abstractNumId w:val="1"/>
  </w:num>
  <w:num w:numId="10">
    <w:abstractNumId w:val="24"/>
  </w:num>
  <w:num w:numId="11">
    <w:abstractNumId w:val="15"/>
  </w:num>
  <w:num w:numId="12">
    <w:abstractNumId w:val="0"/>
  </w:num>
  <w:num w:numId="13">
    <w:abstractNumId w:val="6"/>
  </w:num>
  <w:num w:numId="14">
    <w:abstractNumId w:val="22"/>
  </w:num>
  <w:num w:numId="15">
    <w:abstractNumId w:val="23"/>
  </w:num>
  <w:num w:numId="16">
    <w:abstractNumId w:val="19"/>
  </w:num>
  <w:num w:numId="17">
    <w:abstractNumId w:val="3"/>
  </w:num>
  <w:num w:numId="18">
    <w:abstractNumId w:val="18"/>
  </w:num>
  <w:num w:numId="19">
    <w:abstractNumId w:val="4"/>
  </w:num>
  <w:num w:numId="20">
    <w:abstractNumId w:val="16"/>
  </w:num>
  <w:num w:numId="21">
    <w:abstractNumId w:val="14"/>
  </w:num>
  <w:num w:numId="22">
    <w:abstractNumId w:val="13"/>
  </w:num>
  <w:num w:numId="23">
    <w:abstractNumId w:val="12"/>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8E"/>
    <w:rsid w:val="00003779"/>
    <w:rsid w:val="000117A9"/>
    <w:rsid w:val="00015AB9"/>
    <w:rsid w:val="00036910"/>
    <w:rsid w:val="00037F3F"/>
    <w:rsid w:val="000508B8"/>
    <w:rsid w:val="000570E4"/>
    <w:rsid w:val="00066F81"/>
    <w:rsid w:val="000741A4"/>
    <w:rsid w:val="000764BE"/>
    <w:rsid w:val="000901A7"/>
    <w:rsid w:val="00092A4F"/>
    <w:rsid w:val="00094606"/>
    <w:rsid w:val="00095C39"/>
    <w:rsid w:val="00096593"/>
    <w:rsid w:val="000A0A15"/>
    <w:rsid w:val="000C145D"/>
    <w:rsid w:val="000D0DE8"/>
    <w:rsid w:val="000D168D"/>
    <w:rsid w:val="000D7FFE"/>
    <w:rsid w:val="00117DC9"/>
    <w:rsid w:val="00130831"/>
    <w:rsid w:val="00137C5B"/>
    <w:rsid w:val="001446A0"/>
    <w:rsid w:val="00145C82"/>
    <w:rsid w:val="001552F8"/>
    <w:rsid w:val="00183D4C"/>
    <w:rsid w:val="00184703"/>
    <w:rsid w:val="00186F07"/>
    <w:rsid w:val="00186F0F"/>
    <w:rsid w:val="00190854"/>
    <w:rsid w:val="001A7770"/>
    <w:rsid w:val="001B232D"/>
    <w:rsid w:val="001B277A"/>
    <w:rsid w:val="001D63E6"/>
    <w:rsid w:val="001F4386"/>
    <w:rsid w:val="001F7517"/>
    <w:rsid w:val="0022042D"/>
    <w:rsid w:val="00222C31"/>
    <w:rsid w:val="00226900"/>
    <w:rsid w:val="002303EA"/>
    <w:rsid w:val="00234F6A"/>
    <w:rsid w:val="002510F4"/>
    <w:rsid w:val="002859F0"/>
    <w:rsid w:val="00286868"/>
    <w:rsid w:val="00297A25"/>
    <w:rsid w:val="002A031E"/>
    <w:rsid w:val="002B3124"/>
    <w:rsid w:val="002C53D4"/>
    <w:rsid w:val="002D4598"/>
    <w:rsid w:val="002E5CAB"/>
    <w:rsid w:val="003062F1"/>
    <w:rsid w:val="003073B4"/>
    <w:rsid w:val="0031645F"/>
    <w:rsid w:val="00323CDA"/>
    <w:rsid w:val="0033019C"/>
    <w:rsid w:val="003360EE"/>
    <w:rsid w:val="00353A2F"/>
    <w:rsid w:val="00382C21"/>
    <w:rsid w:val="00385945"/>
    <w:rsid w:val="003977C9"/>
    <w:rsid w:val="003A2DBD"/>
    <w:rsid w:val="003A639B"/>
    <w:rsid w:val="003C25E8"/>
    <w:rsid w:val="003D0559"/>
    <w:rsid w:val="00417EF5"/>
    <w:rsid w:val="00435A03"/>
    <w:rsid w:val="00436CB1"/>
    <w:rsid w:val="004374BD"/>
    <w:rsid w:val="00454F79"/>
    <w:rsid w:val="00462313"/>
    <w:rsid w:val="004637C4"/>
    <w:rsid w:val="004C7BA4"/>
    <w:rsid w:val="004E21B5"/>
    <w:rsid w:val="004E470E"/>
    <w:rsid w:val="004E7222"/>
    <w:rsid w:val="004F5A43"/>
    <w:rsid w:val="00532672"/>
    <w:rsid w:val="00540020"/>
    <w:rsid w:val="005414C0"/>
    <w:rsid w:val="00545F3A"/>
    <w:rsid w:val="00554FF3"/>
    <w:rsid w:val="005573F2"/>
    <w:rsid w:val="005677C1"/>
    <w:rsid w:val="005725D8"/>
    <w:rsid w:val="0059107A"/>
    <w:rsid w:val="005A5A81"/>
    <w:rsid w:val="005B38A6"/>
    <w:rsid w:val="005C4700"/>
    <w:rsid w:val="005D0F14"/>
    <w:rsid w:val="005D398D"/>
    <w:rsid w:val="005E0CB6"/>
    <w:rsid w:val="005F5762"/>
    <w:rsid w:val="00631E7C"/>
    <w:rsid w:val="00632416"/>
    <w:rsid w:val="00657D62"/>
    <w:rsid w:val="00680A03"/>
    <w:rsid w:val="006916D4"/>
    <w:rsid w:val="006B693C"/>
    <w:rsid w:val="006D0F90"/>
    <w:rsid w:val="006D3D9A"/>
    <w:rsid w:val="00705E13"/>
    <w:rsid w:val="00707106"/>
    <w:rsid w:val="007129FB"/>
    <w:rsid w:val="00731493"/>
    <w:rsid w:val="00756741"/>
    <w:rsid w:val="00767226"/>
    <w:rsid w:val="007938BD"/>
    <w:rsid w:val="007A29C7"/>
    <w:rsid w:val="007C1F47"/>
    <w:rsid w:val="007C764D"/>
    <w:rsid w:val="007D648E"/>
    <w:rsid w:val="007E1AAB"/>
    <w:rsid w:val="008016A8"/>
    <w:rsid w:val="008025B6"/>
    <w:rsid w:val="00803A12"/>
    <w:rsid w:val="00821CDB"/>
    <w:rsid w:val="00830C42"/>
    <w:rsid w:val="00844C9C"/>
    <w:rsid w:val="00845E24"/>
    <w:rsid w:val="008477B5"/>
    <w:rsid w:val="00851F74"/>
    <w:rsid w:val="008537E1"/>
    <w:rsid w:val="00855A2C"/>
    <w:rsid w:val="00881794"/>
    <w:rsid w:val="008C3955"/>
    <w:rsid w:val="008C5817"/>
    <w:rsid w:val="008D5323"/>
    <w:rsid w:val="00932752"/>
    <w:rsid w:val="009371D2"/>
    <w:rsid w:val="00941C69"/>
    <w:rsid w:val="00942DB1"/>
    <w:rsid w:val="00944CFE"/>
    <w:rsid w:val="009752B4"/>
    <w:rsid w:val="00983780"/>
    <w:rsid w:val="0098791B"/>
    <w:rsid w:val="009910BB"/>
    <w:rsid w:val="009C217A"/>
    <w:rsid w:val="009D3749"/>
    <w:rsid w:val="009E01D1"/>
    <w:rsid w:val="009F38C3"/>
    <w:rsid w:val="009F4887"/>
    <w:rsid w:val="009F62EB"/>
    <w:rsid w:val="00A12776"/>
    <w:rsid w:val="00A23C75"/>
    <w:rsid w:val="00A26AC8"/>
    <w:rsid w:val="00A3168B"/>
    <w:rsid w:val="00A52683"/>
    <w:rsid w:val="00A530A4"/>
    <w:rsid w:val="00A920DB"/>
    <w:rsid w:val="00AD25E7"/>
    <w:rsid w:val="00AD68EB"/>
    <w:rsid w:val="00AE3FB5"/>
    <w:rsid w:val="00B0348E"/>
    <w:rsid w:val="00B22BC2"/>
    <w:rsid w:val="00B27574"/>
    <w:rsid w:val="00B3093D"/>
    <w:rsid w:val="00B346F8"/>
    <w:rsid w:val="00B67548"/>
    <w:rsid w:val="00B7368E"/>
    <w:rsid w:val="00B801C7"/>
    <w:rsid w:val="00B8602F"/>
    <w:rsid w:val="00B87FBE"/>
    <w:rsid w:val="00BD6DF3"/>
    <w:rsid w:val="00BD6F63"/>
    <w:rsid w:val="00C22928"/>
    <w:rsid w:val="00C33F94"/>
    <w:rsid w:val="00C34E11"/>
    <w:rsid w:val="00C42C05"/>
    <w:rsid w:val="00C5032D"/>
    <w:rsid w:val="00C52403"/>
    <w:rsid w:val="00C77A3A"/>
    <w:rsid w:val="00C963C9"/>
    <w:rsid w:val="00CA14AE"/>
    <w:rsid w:val="00CB08DF"/>
    <w:rsid w:val="00CB4F76"/>
    <w:rsid w:val="00CB50A2"/>
    <w:rsid w:val="00CC00FA"/>
    <w:rsid w:val="00CC3399"/>
    <w:rsid w:val="00CC5121"/>
    <w:rsid w:val="00CD5FF4"/>
    <w:rsid w:val="00CD61E2"/>
    <w:rsid w:val="00CD7C24"/>
    <w:rsid w:val="00CF5D13"/>
    <w:rsid w:val="00D10CBC"/>
    <w:rsid w:val="00D1757D"/>
    <w:rsid w:val="00D43252"/>
    <w:rsid w:val="00D51AF2"/>
    <w:rsid w:val="00D54C52"/>
    <w:rsid w:val="00D57A12"/>
    <w:rsid w:val="00D60FDF"/>
    <w:rsid w:val="00D662C2"/>
    <w:rsid w:val="00D77D09"/>
    <w:rsid w:val="00D82838"/>
    <w:rsid w:val="00D86BF6"/>
    <w:rsid w:val="00D975C4"/>
    <w:rsid w:val="00DB765B"/>
    <w:rsid w:val="00DD362E"/>
    <w:rsid w:val="00E02C1B"/>
    <w:rsid w:val="00E05FA7"/>
    <w:rsid w:val="00E2767B"/>
    <w:rsid w:val="00E3434E"/>
    <w:rsid w:val="00E40024"/>
    <w:rsid w:val="00E45D5A"/>
    <w:rsid w:val="00E73551"/>
    <w:rsid w:val="00E82BE9"/>
    <w:rsid w:val="00E82DF7"/>
    <w:rsid w:val="00E91DA1"/>
    <w:rsid w:val="00E93272"/>
    <w:rsid w:val="00EC38D0"/>
    <w:rsid w:val="00EC6054"/>
    <w:rsid w:val="00ED0F17"/>
    <w:rsid w:val="00ED7EFF"/>
    <w:rsid w:val="00EF42F9"/>
    <w:rsid w:val="00F02C8C"/>
    <w:rsid w:val="00F0571A"/>
    <w:rsid w:val="00F07CC8"/>
    <w:rsid w:val="00F10E26"/>
    <w:rsid w:val="00F15FD6"/>
    <w:rsid w:val="00F2589E"/>
    <w:rsid w:val="00F303E4"/>
    <w:rsid w:val="00F31596"/>
    <w:rsid w:val="00F347C6"/>
    <w:rsid w:val="00F40CF6"/>
    <w:rsid w:val="00F46DC4"/>
    <w:rsid w:val="00F81BF1"/>
    <w:rsid w:val="00F85448"/>
    <w:rsid w:val="00F85FE7"/>
    <w:rsid w:val="00F87FAC"/>
    <w:rsid w:val="00FA157A"/>
    <w:rsid w:val="00FA2E20"/>
    <w:rsid w:val="00FB214A"/>
    <w:rsid w:val="00FE14B8"/>
    <w:rsid w:val="00FE1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821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64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3780"/>
    <w:pPr>
      <w:pBdr>
        <w:top w:val="nil"/>
        <w:left w:val="nil"/>
        <w:bottom w:val="nil"/>
        <w:right w:val="nil"/>
        <w:between w:val="nil"/>
        <w:bar w:val="nil"/>
      </w:pBdr>
    </w:pPr>
    <w:rPr>
      <w:rFonts w:ascii="Cambria" w:hAnsi="Cambria"/>
    </w:rPr>
  </w:style>
  <w:style w:type="character" w:customStyle="1" w:styleId="FootnoteTextChar">
    <w:name w:val="Footnote Text Char"/>
    <w:basedOn w:val="DefaultParagraphFont"/>
    <w:link w:val="FootnoteText"/>
    <w:uiPriority w:val="99"/>
    <w:rsid w:val="00983780"/>
    <w:rPr>
      <w:rFonts w:ascii="Cambria" w:hAnsi="Cambria"/>
    </w:rPr>
  </w:style>
  <w:style w:type="character" w:customStyle="1" w:styleId="Heading2Char">
    <w:name w:val="Heading 2 Char"/>
    <w:basedOn w:val="DefaultParagraphFont"/>
    <w:link w:val="Heading2"/>
    <w:uiPriority w:val="9"/>
    <w:rsid w:val="007D648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537E1"/>
    <w:rPr>
      <w:color w:val="0000FF" w:themeColor="hyperlink"/>
      <w:u w:val="single"/>
    </w:rPr>
  </w:style>
  <w:style w:type="character" w:styleId="FollowedHyperlink">
    <w:name w:val="FollowedHyperlink"/>
    <w:basedOn w:val="DefaultParagraphFont"/>
    <w:uiPriority w:val="99"/>
    <w:semiHidden/>
    <w:unhideWhenUsed/>
    <w:rsid w:val="007129FB"/>
    <w:rPr>
      <w:color w:val="800080" w:themeColor="followedHyperlink"/>
      <w:u w:val="single"/>
    </w:rPr>
  </w:style>
  <w:style w:type="paragraph" w:styleId="Header">
    <w:name w:val="header"/>
    <w:basedOn w:val="Normal"/>
    <w:link w:val="HeaderChar"/>
    <w:uiPriority w:val="99"/>
    <w:unhideWhenUsed/>
    <w:rsid w:val="00CC3399"/>
    <w:pPr>
      <w:tabs>
        <w:tab w:val="center" w:pos="4320"/>
        <w:tab w:val="right" w:pos="8640"/>
      </w:tabs>
    </w:pPr>
  </w:style>
  <w:style w:type="character" w:customStyle="1" w:styleId="HeaderChar">
    <w:name w:val="Header Char"/>
    <w:basedOn w:val="DefaultParagraphFont"/>
    <w:link w:val="Header"/>
    <w:uiPriority w:val="99"/>
    <w:rsid w:val="00CC3399"/>
  </w:style>
  <w:style w:type="paragraph" w:styleId="Footer">
    <w:name w:val="footer"/>
    <w:basedOn w:val="Normal"/>
    <w:link w:val="FooterChar"/>
    <w:uiPriority w:val="99"/>
    <w:unhideWhenUsed/>
    <w:rsid w:val="00CC3399"/>
    <w:pPr>
      <w:tabs>
        <w:tab w:val="center" w:pos="4320"/>
        <w:tab w:val="right" w:pos="8640"/>
      </w:tabs>
    </w:pPr>
  </w:style>
  <w:style w:type="character" w:customStyle="1" w:styleId="FooterChar">
    <w:name w:val="Footer Char"/>
    <w:basedOn w:val="DefaultParagraphFont"/>
    <w:link w:val="Footer"/>
    <w:uiPriority w:val="99"/>
    <w:rsid w:val="00CC3399"/>
  </w:style>
  <w:style w:type="character" w:styleId="FootnoteReference">
    <w:name w:val="footnote reference"/>
    <w:basedOn w:val="DefaultParagraphFont"/>
    <w:uiPriority w:val="99"/>
    <w:unhideWhenUsed/>
    <w:rsid w:val="00DD362E"/>
    <w:rPr>
      <w:vertAlign w:val="superscript"/>
    </w:rPr>
  </w:style>
  <w:style w:type="character" w:customStyle="1" w:styleId="apple-converted-space">
    <w:name w:val="apple-converted-space"/>
    <w:basedOn w:val="DefaultParagraphFont"/>
    <w:rsid w:val="00DD362E"/>
  </w:style>
  <w:style w:type="paragraph" w:styleId="ListParagraph">
    <w:name w:val="List Paragraph"/>
    <w:basedOn w:val="Normal"/>
    <w:uiPriority w:val="34"/>
    <w:qFormat/>
    <w:rsid w:val="00D43252"/>
    <w:pPr>
      <w:ind w:left="720"/>
      <w:contextualSpacing/>
    </w:pPr>
  </w:style>
  <w:style w:type="character" w:styleId="Emphasis">
    <w:name w:val="Emphasis"/>
    <w:basedOn w:val="DefaultParagraphFont"/>
    <w:uiPriority w:val="20"/>
    <w:qFormat/>
    <w:rsid w:val="00BD6F63"/>
    <w:rPr>
      <w:i/>
      <w:iCs/>
    </w:rPr>
  </w:style>
  <w:style w:type="character" w:styleId="PageNumber">
    <w:name w:val="page number"/>
    <w:basedOn w:val="DefaultParagraphFont"/>
    <w:uiPriority w:val="99"/>
    <w:semiHidden/>
    <w:unhideWhenUsed/>
    <w:rsid w:val="005573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64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3780"/>
    <w:pPr>
      <w:pBdr>
        <w:top w:val="nil"/>
        <w:left w:val="nil"/>
        <w:bottom w:val="nil"/>
        <w:right w:val="nil"/>
        <w:between w:val="nil"/>
        <w:bar w:val="nil"/>
      </w:pBdr>
    </w:pPr>
    <w:rPr>
      <w:rFonts w:ascii="Cambria" w:hAnsi="Cambria"/>
    </w:rPr>
  </w:style>
  <w:style w:type="character" w:customStyle="1" w:styleId="FootnoteTextChar">
    <w:name w:val="Footnote Text Char"/>
    <w:basedOn w:val="DefaultParagraphFont"/>
    <w:link w:val="FootnoteText"/>
    <w:uiPriority w:val="99"/>
    <w:rsid w:val="00983780"/>
    <w:rPr>
      <w:rFonts w:ascii="Cambria" w:hAnsi="Cambria"/>
    </w:rPr>
  </w:style>
  <w:style w:type="character" w:customStyle="1" w:styleId="Heading2Char">
    <w:name w:val="Heading 2 Char"/>
    <w:basedOn w:val="DefaultParagraphFont"/>
    <w:link w:val="Heading2"/>
    <w:uiPriority w:val="9"/>
    <w:rsid w:val="007D648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537E1"/>
    <w:rPr>
      <w:color w:val="0000FF" w:themeColor="hyperlink"/>
      <w:u w:val="single"/>
    </w:rPr>
  </w:style>
  <w:style w:type="character" w:styleId="FollowedHyperlink">
    <w:name w:val="FollowedHyperlink"/>
    <w:basedOn w:val="DefaultParagraphFont"/>
    <w:uiPriority w:val="99"/>
    <w:semiHidden/>
    <w:unhideWhenUsed/>
    <w:rsid w:val="007129FB"/>
    <w:rPr>
      <w:color w:val="800080" w:themeColor="followedHyperlink"/>
      <w:u w:val="single"/>
    </w:rPr>
  </w:style>
  <w:style w:type="paragraph" w:styleId="Header">
    <w:name w:val="header"/>
    <w:basedOn w:val="Normal"/>
    <w:link w:val="HeaderChar"/>
    <w:uiPriority w:val="99"/>
    <w:unhideWhenUsed/>
    <w:rsid w:val="00CC3399"/>
    <w:pPr>
      <w:tabs>
        <w:tab w:val="center" w:pos="4320"/>
        <w:tab w:val="right" w:pos="8640"/>
      </w:tabs>
    </w:pPr>
  </w:style>
  <w:style w:type="character" w:customStyle="1" w:styleId="HeaderChar">
    <w:name w:val="Header Char"/>
    <w:basedOn w:val="DefaultParagraphFont"/>
    <w:link w:val="Header"/>
    <w:uiPriority w:val="99"/>
    <w:rsid w:val="00CC3399"/>
  </w:style>
  <w:style w:type="paragraph" w:styleId="Footer">
    <w:name w:val="footer"/>
    <w:basedOn w:val="Normal"/>
    <w:link w:val="FooterChar"/>
    <w:uiPriority w:val="99"/>
    <w:unhideWhenUsed/>
    <w:rsid w:val="00CC3399"/>
    <w:pPr>
      <w:tabs>
        <w:tab w:val="center" w:pos="4320"/>
        <w:tab w:val="right" w:pos="8640"/>
      </w:tabs>
    </w:pPr>
  </w:style>
  <w:style w:type="character" w:customStyle="1" w:styleId="FooterChar">
    <w:name w:val="Footer Char"/>
    <w:basedOn w:val="DefaultParagraphFont"/>
    <w:link w:val="Footer"/>
    <w:uiPriority w:val="99"/>
    <w:rsid w:val="00CC3399"/>
  </w:style>
  <w:style w:type="character" w:styleId="FootnoteReference">
    <w:name w:val="footnote reference"/>
    <w:basedOn w:val="DefaultParagraphFont"/>
    <w:uiPriority w:val="99"/>
    <w:unhideWhenUsed/>
    <w:rsid w:val="00DD362E"/>
    <w:rPr>
      <w:vertAlign w:val="superscript"/>
    </w:rPr>
  </w:style>
  <w:style w:type="character" w:customStyle="1" w:styleId="apple-converted-space">
    <w:name w:val="apple-converted-space"/>
    <w:basedOn w:val="DefaultParagraphFont"/>
    <w:rsid w:val="00DD362E"/>
  </w:style>
  <w:style w:type="paragraph" w:styleId="ListParagraph">
    <w:name w:val="List Paragraph"/>
    <w:basedOn w:val="Normal"/>
    <w:uiPriority w:val="34"/>
    <w:qFormat/>
    <w:rsid w:val="00D43252"/>
    <w:pPr>
      <w:ind w:left="720"/>
      <w:contextualSpacing/>
    </w:pPr>
  </w:style>
  <w:style w:type="character" w:styleId="Emphasis">
    <w:name w:val="Emphasis"/>
    <w:basedOn w:val="DefaultParagraphFont"/>
    <w:uiPriority w:val="20"/>
    <w:qFormat/>
    <w:rsid w:val="00BD6F63"/>
    <w:rPr>
      <w:i/>
      <w:iCs/>
    </w:rPr>
  </w:style>
  <w:style w:type="character" w:styleId="PageNumber">
    <w:name w:val="page number"/>
    <w:basedOn w:val="DefaultParagraphFont"/>
    <w:uiPriority w:val="99"/>
    <w:semiHidden/>
    <w:unhideWhenUsed/>
    <w:rsid w:val="00557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771">
      <w:bodyDiv w:val="1"/>
      <w:marLeft w:val="0"/>
      <w:marRight w:val="0"/>
      <w:marTop w:val="0"/>
      <w:marBottom w:val="0"/>
      <w:divBdr>
        <w:top w:val="none" w:sz="0" w:space="0" w:color="auto"/>
        <w:left w:val="none" w:sz="0" w:space="0" w:color="auto"/>
        <w:bottom w:val="none" w:sz="0" w:space="0" w:color="auto"/>
        <w:right w:val="none" w:sz="0" w:space="0" w:color="auto"/>
      </w:divBdr>
      <w:divsChild>
        <w:div w:id="155970694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51327683">
      <w:bodyDiv w:val="1"/>
      <w:marLeft w:val="0"/>
      <w:marRight w:val="0"/>
      <w:marTop w:val="0"/>
      <w:marBottom w:val="0"/>
      <w:divBdr>
        <w:top w:val="none" w:sz="0" w:space="0" w:color="auto"/>
        <w:left w:val="none" w:sz="0" w:space="0" w:color="auto"/>
        <w:bottom w:val="none" w:sz="0" w:space="0" w:color="auto"/>
        <w:right w:val="none" w:sz="0" w:space="0" w:color="auto"/>
      </w:divBdr>
      <w:divsChild>
        <w:div w:id="144874061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ytimes.com/2004/12/28/science/evidence-of-ancient-civilization-is-found-in-peruvian-countryside.html" TargetMode="External"/><Relationship Id="rId21" Type="http://schemas.openxmlformats.org/officeDocument/2006/relationships/hyperlink" Target="http://archive.archaeology.org/0601/abstracts/olmec.html" TargetMode="External"/><Relationship Id="rId22" Type="http://schemas.openxmlformats.org/officeDocument/2006/relationships/hyperlink" Target="http://www.imh.org/exhibits/online/kikkuli-1345-bce" TargetMode="External"/><Relationship Id="rId23" Type="http://schemas.openxmlformats.org/officeDocument/2006/relationships/hyperlink" Target="http://www.nytimes.com/2015/10/27/science/a-warriors-grave-at-pylos-greece-could-be-a-gateway-to-civilizations.html" TargetMode="External"/><Relationship Id="rId24" Type="http://schemas.openxmlformats.org/officeDocument/2006/relationships/hyperlink" Target="http://archive.archaeology.org/0001/newsbriefs/iron.html" TargetMode="External"/><Relationship Id="rId25" Type="http://schemas.openxmlformats.org/officeDocument/2006/relationships/hyperlink" Target="http://archive.archaeology.org/1107/features/nok_nigeria_africa_terracotta.html" TargetMode="External"/><Relationship Id="rId26" Type="http://schemas.openxmlformats.org/officeDocument/2006/relationships/hyperlink" Target="http://scientistatwork.blogs.nytimes.com/2011/03/01/maya-axes-and-moles-under-the-pyramid/" TargetMode="External"/><Relationship Id="rId27" Type="http://schemas.openxmlformats.org/officeDocument/2006/relationships/hyperlink" Target="http://archive.archaeology.org/1107/trenches/chavin_de_huantar_caves_acoustics.html" TargetMode="External"/><Relationship Id="rId28" Type="http://schemas.openxmlformats.org/officeDocument/2006/relationships/hyperlink" Target="http://www.archaeology.org/issues/174-1505/features/3146-sudan-nubia-dangeil-cult-of-amun-ra" TargetMode="External"/><Relationship Id="rId29" Type="http://schemas.openxmlformats.org/officeDocument/2006/relationships/hyperlink" Target="http://acc6.its.brooklyn.cuny.edu/~phalsall/texts/ssuma2.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ps.pearsoncustom.com/wps/media/objects/2427/2486120/chap_assets/documents/doc6_4.html" TargetMode="External"/><Relationship Id="rId31" Type="http://schemas.openxmlformats.org/officeDocument/2006/relationships/hyperlink" Target="http://archive.archaeology.org/0811/etc/artifact.html" TargetMode="External"/><Relationship Id="rId32" Type="http://schemas.openxmlformats.org/officeDocument/2006/relationships/hyperlink" Target="http://www.archaeology.org/news/4667-160722-china-silk-road-parasites" TargetMode="External"/><Relationship Id="rId9" Type="http://schemas.openxmlformats.org/officeDocument/2006/relationships/hyperlink" Target="https://my.sa.ucsb.edu/catalog/Current/UndergraduateEducation/SpecialSubjectAreaRequirements.aspx"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wl.english.purdue.edu/owl/resource/735/05/" TargetMode="External"/><Relationship Id="rId33" Type="http://schemas.openxmlformats.org/officeDocument/2006/relationships/hyperlink" Target="http://www.sciencedirect.com/science/article/pii/S1473309913703232" TargetMode="External"/><Relationship Id="rId34" Type="http://schemas.openxmlformats.org/officeDocument/2006/relationships/hyperlink" Target="http://www.nytimes.com/2002/02/24/arts/art-architecture-ruins-of-an-old-christian-church-on-lao-tzu-s-turf.html" TargetMode="External"/><Relationship Id="rId35" Type="http://schemas.openxmlformats.org/officeDocument/2006/relationships/hyperlink" Target="http://archive.archaeology.org/1011/etc/letter.html" TargetMode="External"/><Relationship Id="rId36" Type="http://schemas.openxmlformats.org/officeDocument/2006/relationships/hyperlink" Target="http://archive.archaeology.org/1105/features/north_korea_goryeo_dynasty_mount_songak.html" TargetMode="External"/><Relationship Id="rId10" Type="http://schemas.openxmlformats.org/officeDocument/2006/relationships/hyperlink" Target="https://my.sa.ucsb.edu/catalog/Current/AcademicPoliciesProcedures/UnitsofCredit.aspx" TargetMode="External"/><Relationship Id="rId11" Type="http://schemas.openxmlformats.org/officeDocument/2006/relationships/hyperlink" Target="http://www.nytimes.com/2017/01/02/opinion/leave-your-laptops-at-the-door-to-my-classroom.htmlhttp://www.nytimes.com/2017/01/02/opinion/leave-your-laptops-at-the-door-to-my-classroom.html" TargetMode="External"/><Relationship Id="rId12" Type="http://schemas.openxmlformats.org/officeDocument/2006/relationships/hyperlink" Target="https://itunes.apple.com/us/podcast/quiet-power-introverts-susan/id1065074566?mt=2&amp;ign-mpt=uo%3D4" TargetMode="External"/><Relationship Id="rId13" Type="http://schemas.openxmlformats.org/officeDocument/2006/relationships/hyperlink" Target="http://search.ebscohost.com/login.aspx?direct=true&amp;db=a9h&amp;AN=78311646&amp;site=ehost-live" TargetMode="External"/><Relationship Id="rId14" Type="http://schemas.openxmlformats.org/officeDocument/2006/relationships/hyperlink" Target="http://www.bbc.com/news/science-environment-34883225" TargetMode="External"/><Relationship Id="rId15" Type="http://schemas.openxmlformats.org/officeDocument/2006/relationships/hyperlink" Target="https://en.wikipedia.org/wiki/Code_of_Ur-Nammu" TargetMode="External"/><Relationship Id="rId16" Type="http://schemas.openxmlformats.org/officeDocument/2006/relationships/hyperlink" Target="http://etcsl.orinst.ox.ac.uk/section4/tr4072.htm" TargetMode="External"/><Relationship Id="rId17" Type="http://schemas.openxmlformats.org/officeDocument/2006/relationships/hyperlink" Target="https://www.scientificamerican.com/article/uncovering-the-keys-to-the-lost-ind/" TargetMode="External"/><Relationship Id="rId18" Type="http://schemas.openxmlformats.org/officeDocument/2006/relationships/hyperlink" Target="http://gallica.bnf.fr/ark:/12148/btv1b8304612b" TargetMode="External"/><Relationship Id="rId19" Type="http://schemas.openxmlformats.org/officeDocument/2006/relationships/hyperlink" Target="http://www.bbc.com/news/science-environment-13266431" TargetMode="External"/><Relationship Id="rId37" Type="http://schemas.openxmlformats.org/officeDocument/2006/relationships/hyperlink" Target="http://archive.archaeology.org/1003/trenches/silk_road_exhibit.html"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ilsonquarterly.com/quarterly/spring-2011-the-city-bounces-back-four-portraits/classical-education-in-america/" TargetMode="External"/><Relationship Id="rId4" Type="http://schemas.openxmlformats.org/officeDocument/2006/relationships/hyperlink" Target="https://owl.english.purdue.edu/owl/resource/735/05/" TargetMode="External"/><Relationship Id="rId5" Type="http://schemas.openxmlformats.org/officeDocument/2006/relationships/hyperlink" Target="http://www.jstor.org/stable/40016440" TargetMode="External"/><Relationship Id="rId1" Type="http://schemas.openxmlformats.org/officeDocument/2006/relationships/hyperlink" Target="http://www.oed.com.proxy.library.ucsb.edu:2048/view/Entry/297448?rskey=yYAJRU&amp;result=2" TargetMode="External"/><Relationship Id="rId2" Type="http://schemas.openxmlformats.org/officeDocument/2006/relationships/hyperlink" Target="http://www.jstor.org/stable/2708761?se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2535</TotalTime>
  <Pages>9</Pages>
  <Words>2843</Words>
  <Characters>16210</Characters>
  <Application>Microsoft Macintosh Word</Application>
  <DocSecurity>0</DocSecurity>
  <Lines>135</Lines>
  <Paragraphs>38</Paragraphs>
  <ScaleCrop>false</ScaleCrop>
  <Company/>
  <LinksUpToDate>false</LinksUpToDate>
  <CharactersWithSpaces>19015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Digeser</dc:creator>
  <cp:keywords/>
  <dc:description/>
  <cp:lastModifiedBy>Beth Digeser</cp:lastModifiedBy>
  <cp:revision>26</cp:revision>
  <cp:lastPrinted>2017-01-09T18:30:00Z</cp:lastPrinted>
  <dcterms:created xsi:type="dcterms:W3CDTF">2017-01-02T22:16:00Z</dcterms:created>
  <dcterms:modified xsi:type="dcterms:W3CDTF">2017-01-09T19:21:00Z</dcterms:modified>
</cp:coreProperties>
</file>